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8C5A" w14:textId="77777777" w:rsidR="00A80D5A" w:rsidRPr="0036101C" w:rsidRDefault="0036101C">
      <w:pPr>
        <w:pStyle w:val="P68B1DB1-Normal1"/>
        <w:jc w:val="center"/>
      </w:pPr>
      <w:r w:rsidRPr="0036101C">
        <w:rPr>
          <w:noProof/>
        </w:rPr>
        <w:drawing>
          <wp:anchor distT="0" distB="0" distL="114300" distR="114300" simplePos="0" relativeHeight="251658240" behindDoc="1" locked="0" layoutInCell="1" allowOverlap="1" wp14:anchorId="6AA05D95" wp14:editId="25331CE2">
            <wp:simplePos x="0" y="0"/>
            <wp:positionH relativeFrom="margin">
              <wp:align>center</wp:align>
            </wp:positionH>
            <wp:positionV relativeFrom="paragraph">
              <wp:posOffset>0</wp:posOffset>
            </wp:positionV>
            <wp:extent cx="3371215" cy="956945"/>
            <wp:effectExtent l="0" t="0" r="635" b="0"/>
            <wp:wrapTight wrapText="bothSides">
              <wp:wrapPolygon edited="0">
                <wp:start x="0" y="0"/>
                <wp:lineTo x="0" y="21070"/>
                <wp:lineTo x="21482" y="21070"/>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215" cy="956945"/>
                    </a:xfrm>
                    <a:prstGeom prst="rect">
                      <a:avLst/>
                    </a:prstGeom>
                    <a:noFill/>
                  </pic:spPr>
                </pic:pic>
              </a:graphicData>
            </a:graphic>
            <wp14:sizeRelH relativeFrom="page">
              <wp14:pctWidth>0</wp14:pctWidth>
            </wp14:sizeRelH>
            <wp14:sizeRelV relativeFrom="page">
              <wp14:pctHeight>0</wp14:pctHeight>
            </wp14:sizeRelV>
          </wp:anchor>
        </w:drawing>
      </w:r>
    </w:p>
    <w:p w14:paraId="629F0FB1" w14:textId="77777777" w:rsidR="00A80D5A" w:rsidRPr="0036101C" w:rsidRDefault="00A80D5A">
      <w:pPr>
        <w:rPr>
          <w:rFonts w:ascii="Arial" w:hAnsi="Arial" w:cs="Arial"/>
        </w:rPr>
      </w:pPr>
    </w:p>
    <w:p w14:paraId="0B29DF95" w14:textId="77777777" w:rsidR="00A80D5A" w:rsidRPr="0036101C" w:rsidRDefault="0036101C">
      <w:pPr>
        <w:pStyle w:val="P68B1DB1-Normal1"/>
        <w:rPr>
          <w:sz w:val="32"/>
        </w:rPr>
      </w:pPr>
      <w:r w:rsidRPr="0036101C">
        <w:t xml:space="preserve">     </w:t>
      </w:r>
      <w:r w:rsidRPr="0036101C">
        <w:rPr>
          <w:sz w:val="32"/>
        </w:rPr>
        <w:t xml:space="preserve"> </w:t>
      </w:r>
    </w:p>
    <w:p w14:paraId="607315EB" w14:textId="77777777" w:rsidR="00A80D5A" w:rsidRPr="0036101C" w:rsidRDefault="00A80D5A">
      <w:pPr>
        <w:jc w:val="center"/>
        <w:rPr>
          <w:rFonts w:ascii="Arial" w:hAnsi="Arial" w:cs="Arial"/>
          <w:b/>
          <w:i/>
          <w:color w:val="C45911" w:themeColor="accent2" w:themeShade="BF"/>
          <w:sz w:val="30"/>
          <w:highlight w:val="white"/>
        </w:rPr>
      </w:pPr>
    </w:p>
    <w:p w14:paraId="3A1CBA74" w14:textId="77777777" w:rsidR="00A80D5A" w:rsidRPr="0036101C" w:rsidRDefault="00A80D5A">
      <w:pPr>
        <w:jc w:val="center"/>
        <w:rPr>
          <w:rFonts w:ascii="Arial" w:hAnsi="Arial" w:cs="Arial"/>
          <w:b/>
          <w:i/>
          <w:color w:val="C45911" w:themeColor="accent2" w:themeShade="BF"/>
          <w:sz w:val="30"/>
          <w:highlight w:val="white"/>
        </w:rPr>
      </w:pPr>
    </w:p>
    <w:p w14:paraId="7B29C50F" w14:textId="77777777" w:rsidR="00A80D5A" w:rsidRPr="0036101C" w:rsidRDefault="00A80D5A">
      <w:pPr>
        <w:rPr>
          <w:rFonts w:ascii="Arial" w:hAnsi="Arial" w:cs="Arial"/>
          <w:b/>
          <w:i/>
          <w:color w:val="C45911" w:themeColor="accent2" w:themeShade="BF"/>
          <w:sz w:val="30"/>
          <w:highlight w:val="white"/>
        </w:rPr>
      </w:pPr>
    </w:p>
    <w:p w14:paraId="0C79D740" w14:textId="77777777" w:rsidR="00A80D5A" w:rsidRPr="0036101C" w:rsidRDefault="00A80D5A">
      <w:pPr>
        <w:jc w:val="center"/>
        <w:rPr>
          <w:rFonts w:ascii="Arial" w:hAnsi="Arial" w:cs="Arial"/>
          <w:b/>
          <w:i/>
          <w:color w:val="C45911" w:themeColor="accent2" w:themeShade="BF"/>
          <w:sz w:val="30"/>
          <w:highlight w:val="white"/>
        </w:rPr>
      </w:pPr>
    </w:p>
    <w:p w14:paraId="39435D09" w14:textId="77777777" w:rsidR="00A80D5A" w:rsidRPr="0036101C" w:rsidRDefault="00A80D5A">
      <w:pPr>
        <w:jc w:val="center"/>
        <w:rPr>
          <w:rFonts w:ascii="Arial" w:hAnsi="Arial" w:cs="Arial"/>
          <w:b/>
          <w:i/>
          <w:color w:val="1F4E79" w:themeColor="accent5" w:themeShade="80"/>
          <w:sz w:val="44"/>
          <w:shd w:val="clear" w:color="auto" w:fill="FFFFFF"/>
        </w:rPr>
      </w:pPr>
    </w:p>
    <w:p w14:paraId="6854F13E" w14:textId="77777777" w:rsidR="00A80D5A" w:rsidRPr="0036101C" w:rsidRDefault="00A80D5A">
      <w:pPr>
        <w:jc w:val="center"/>
        <w:rPr>
          <w:rFonts w:ascii="Arial" w:hAnsi="Arial" w:cs="Arial"/>
          <w:b/>
          <w:i/>
          <w:color w:val="1F4E79" w:themeColor="accent5" w:themeShade="80"/>
          <w:sz w:val="44"/>
          <w:shd w:val="clear" w:color="auto" w:fill="FFFFFF"/>
        </w:rPr>
      </w:pPr>
    </w:p>
    <w:p w14:paraId="7CA6869B" w14:textId="5660A689" w:rsidR="00724B49" w:rsidRDefault="004B7329">
      <w:pPr>
        <w:jc w:val="center"/>
        <w:rPr>
          <w:rFonts w:ascii="Times New Roman" w:hAnsi="Times New Roman" w:cs="Times New Roman"/>
          <w:b/>
          <w:i/>
          <w:color w:val="1F4E79" w:themeColor="accent5" w:themeShade="80"/>
          <w:sz w:val="52"/>
          <w:shd w:val="clear" w:color="auto" w:fill="FFFFFF"/>
        </w:rPr>
      </w:pPr>
      <w:r w:rsidRPr="004B7329">
        <w:rPr>
          <w:rFonts w:ascii="Times New Roman" w:hAnsi="Times New Roman" w:cs="Times New Roman"/>
          <w:b/>
          <w:i/>
          <w:color w:val="1F4E79" w:themeColor="accent5" w:themeShade="80"/>
          <w:sz w:val="52"/>
          <w:shd w:val="clear" w:color="auto" w:fill="FFFFFF"/>
        </w:rPr>
        <w:t>Mekanizmi i Qëndrueshmërisë Civile të BE-së</w:t>
      </w:r>
    </w:p>
    <w:p w14:paraId="54E1C077" w14:textId="77777777" w:rsidR="004B7329" w:rsidRPr="0036101C" w:rsidRDefault="004B7329">
      <w:pPr>
        <w:jc w:val="center"/>
        <w:rPr>
          <w:rFonts w:ascii="Times New Roman" w:hAnsi="Times New Roman" w:cs="Times New Roman"/>
          <w:i/>
          <w:color w:val="1F4E79" w:themeColor="accent5" w:themeShade="80"/>
          <w:sz w:val="36"/>
          <w:shd w:val="clear" w:color="auto" w:fill="FFFFFF"/>
        </w:rPr>
      </w:pPr>
    </w:p>
    <w:p w14:paraId="01A69AC0" w14:textId="55D85DC4" w:rsidR="00A80D5A" w:rsidRPr="0036101C" w:rsidRDefault="0036101C">
      <w:pPr>
        <w:pStyle w:val="P68B1DB1-Normal3"/>
        <w:jc w:val="center"/>
      </w:pPr>
      <w:r w:rsidRPr="0036101C">
        <w:t xml:space="preserve">Thirrje për mbështetje në </w:t>
      </w:r>
      <w:r w:rsidR="009B4107" w:rsidRPr="0036101C">
        <w:t>nat</w:t>
      </w:r>
      <w:r w:rsidR="009B4107">
        <w:t>y</w:t>
      </w:r>
      <w:r w:rsidR="009B4107" w:rsidRPr="0036101C">
        <w:t xml:space="preserve">rë </w:t>
      </w:r>
      <w:r w:rsidRPr="0036101C">
        <w:t>për shoqërinë civile</w:t>
      </w:r>
    </w:p>
    <w:p w14:paraId="6F8B690D" w14:textId="77777777" w:rsidR="00A80D5A" w:rsidRPr="0036101C" w:rsidRDefault="00A80D5A">
      <w:pPr>
        <w:jc w:val="center"/>
        <w:rPr>
          <w:rFonts w:ascii="Times New Roman" w:hAnsi="Times New Roman" w:cs="Times New Roman"/>
          <w:b/>
          <w:i/>
          <w:color w:val="1F4E79" w:themeColor="accent5" w:themeShade="80"/>
          <w:sz w:val="30"/>
          <w:highlight w:val="white"/>
        </w:rPr>
      </w:pPr>
    </w:p>
    <w:p w14:paraId="524A057E" w14:textId="77777777" w:rsidR="00A80D5A" w:rsidRPr="0036101C" w:rsidRDefault="00A80D5A">
      <w:pPr>
        <w:jc w:val="center"/>
        <w:rPr>
          <w:rFonts w:ascii="Times New Roman" w:hAnsi="Times New Roman" w:cs="Times New Roman"/>
          <w:b/>
          <w:i/>
          <w:color w:val="1F4E79" w:themeColor="accent5" w:themeShade="80"/>
          <w:sz w:val="30"/>
          <w:highlight w:val="white"/>
        </w:rPr>
      </w:pPr>
    </w:p>
    <w:p w14:paraId="7CC19C32" w14:textId="77777777" w:rsidR="00A80D5A" w:rsidRPr="0036101C" w:rsidRDefault="00A80D5A">
      <w:pPr>
        <w:jc w:val="center"/>
        <w:rPr>
          <w:rFonts w:ascii="Times New Roman" w:hAnsi="Times New Roman" w:cs="Times New Roman"/>
          <w:b/>
          <w:i/>
          <w:color w:val="1F4E79" w:themeColor="accent5" w:themeShade="80"/>
          <w:sz w:val="30"/>
          <w:highlight w:val="white"/>
        </w:rPr>
      </w:pPr>
    </w:p>
    <w:tbl>
      <w:tblPr>
        <w:tblStyle w:val="TableGrid"/>
        <w:tblW w:w="8976" w:type="dxa"/>
        <w:tblInd w:w="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107" w:type="dxa"/>
        </w:tblCellMar>
        <w:tblLook w:val="04A0" w:firstRow="1" w:lastRow="0" w:firstColumn="1" w:lastColumn="0" w:noHBand="0" w:noVBand="1"/>
      </w:tblPr>
      <w:tblGrid>
        <w:gridCol w:w="8976"/>
      </w:tblGrid>
      <w:tr w:rsidR="00A80D5A" w:rsidRPr="0036101C" w14:paraId="49336B5F" w14:textId="77777777">
        <w:trPr>
          <w:trHeight w:val="893"/>
        </w:trPr>
        <w:tc>
          <w:tcPr>
            <w:tcW w:w="8976" w:type="dxa"/>
            <w:shd w:val="clear" w:color="auto" w:fill="auto"/>
          </w:tcPr>
          <w:p w14:paraId="2A9219CF" w14:textId="77777777" w:rsidR="00A80D5A" w:rsidRPr="0036101C" w:rsidRDefault="00A80D5A">
            <w:pPr>
              <w:jc w:val="center"/>
              <w:rPr>
                <w:rFonts w:ascii="Times New Roman" w:hAnsi="Times New Roman" w:cs="Times New Roman"/>
                <w:b/>
                <w:i/>
                <w:color w:val="1F4E79" w:themeColor="accent5" w:themeShade="80"/>
                <w:sz w:val="20"/>
                <w:shd w:val="clear" w:color="auto" w:fill="FFFFFF"/>
              </w:rPr>
            </w:pPr>
          </w:p>
          <w:p w14:paraId="33471668" w14:textId="380FB0D4" w:rsidR="00A80D5A" w:rsidRPr="0036101C" w:rsidRDefault="0036101C">
            <w:pPr>
              <w:pStyle w:val="P68B1DB1-Normal4"/>
              <w:jc w:val="center"/>
              <w:rPr>
                <w:highlight w:val="white"/>
              </w:rPr>
            </w:pPr>
            <w:r w:rsidRPr="0036101C">
              <w:t>UDHËZIME PËR APLIKANTËT</w:t>
            </w:r>
          </w:p>
        </w:tc>
      </w:tr>
    </w:tbl>
    <w:p w14:paraId="54AB0250" w14:textId="77777777" w:rsidR="00A80D5A" w:rsidRPr="0036101C" w:rsidRDefault="00A80D5A">
      <w:pPr>
        <w:jc w:val="center"/>
        <w:rPr>
          <w:rFonts w:ascii="Times New Roman" w:hAnsi="Times New Roman" w:cs="Times New Roman"/>
          <w:b/>
          <w:i/>
          <w:color w:val="C45911" w:themeColor="accent2" w:themeShade="BF"/>
          <w:highlight w:val="white"/>
        </w:rPr>
      </w:pPr>
    </w:p>
    <w:p w14:paraId="3F8498FE" w14:textId="77777777" w:rsidR="00A80D5A" w:rsidRPr="0036101C" w:rsidRDefault="00A80D5A">
      <w:pPr>
        <w:jc w:val="center"/>
        <w:rPr>
          <w:rFonts w:ascii="Times New Roman" w:hAnsi="Times New Roman" w:cs="Times New Roman"/>
          <w:b/>
          <w:i/>
          <w:color w:val="C45911" w:themeColor="accent2" w:themeShade="BF"/>
          <w:highlight w:val="white"/>
        </w:rPr>
      </w:pPr>
    </w:p>
    <w:p w14:paraId="5CEE319F" w14:textId="77777777" w:rsidR="00A80D5A" w:rsidRPr="0036101C" w:rsidRDefault="00A80D5A">
      <w:pPr>
        <w:jc w:val="center"/>
        <w:rPr>
          <w:rFonts w:ascii="Times New Roman" w:hAnsi="Times New Roman" w:cs="Times New Roman"/>
          <w:b/>
          <w:i/>
          <w:color w:val="C45911" w:themeColor="accent2" w:themeShade="BF"/>
          <w:highlight w:val="white"/>
        </w:rPr>
      </w:pPr>
    </w:p>
    <w:p w14:paraId="4B8F5E03" w14:textId="77777777" w:rsidR="00A80D5A" w:rsidRPr="0036101C" w:rsidRDefault="00A80D5A">
      <w:pPr>
        <w:jc w:val="center"/>
        <w:rPr>
          <w:rFonts w:ascii="Times New Roman" w:hAnsi="Times New Roman" w:cs="Times New Roman"/>
          <w:b/>
          <w:i/>
          <w:color w:val="C45911" w:themeColor="accent2" w:themeShade="BF"/>
          <w:highlight w:val="white"/>
        </w:rPr>
      </w:pPr>
    </w:p>
    <w:p w14:paraId="56166823" w14:textId="77777777" w:rsidR="00A80D5A" w:rsidRPr="0036101C" w:rsidRDefault="00A80D5A">
      <w:pPr>
        <w:rPr>
          <w:rFonts w:ascii="Times New Roman" w:hAnsi="Times New Roman" w:cs="Times New Roman"/>
          <w:b/>
          <w:i/>
          <w:color w:val="C45911" w:themeColor="accent2" w:themeShade="BF"/>
          <w:highlight w:val="white"/>
        </w:rPr>
      </w:pPr>
    </w:p>
    <w:p w14:paraId="5B2CBFDE" w14:textId="77777777" w:rsidR="00A80D5A" w:rsidRPr="0036101C" w:rsidRDefault="0036101C">
      <w:pPr>
        <w:pStyle w:val="P68B1DB1-Normal5"/>
        <w:jc w:val="center"/>
      </w:pPr>
      <w:r w:rsidRPr="0036101C">
        <w:t>Numri i referencës: IPA/2019/413-168/EUCRM</w:t>
      </w:r>
    </w:p>
    <w:p w14:paraId="5EC980D0" w14:textId="77777777" w:rsidR="00A80D5A" w:rsidRPr="0036101C" w:rsidRDefault="00A80D5A">
      <w:pPr>
        <w:jc w:val="center"/>
        <w:rPr>
          <w:rFonts w:ascii="Times New Roman" w:hAnsi="Times New Roman" w:cs="Times New Roman"/>
          <w:b/>
          <w:i/>
          <w:color w:val="1F4E79" w:themeColor="accent5" w:themeShade="80"/>
          <w:sz w:val="28"/>
          <w:highlight w:val="white"/>
        </w:rPr>
      </w:pPr>
    </w:p>
    <w:p w14:paraId="735F8B3E" w14:textId="77777777" w:rsidR="00A80D5A" w:rsidRPr="0036101C" w:rsidRDefault="00A80D5A">
      <w:pPr>
        <w:jc w:val="center"/>
        <w:rPr>
          <w:rFonts w:ascii="Times New Roman" w:hAnsi="Times New Roman" w:cs="Times New Roman"/>
          <w:b/>
          <w:i/>
          <w:color w:val="1F4E79" w:themeColor="accent5" w:themeShade="80"/>
          <w:sz w:val="28"/>
          <w:shd w:val="clear" w:color="auto" w:fill="FFFFFF"/>
        </w:rPr>
      </w:pPr>
    </w:p>
    <w:p w14:paraId="336DC801" w14:textId="77777777" w:rsidR="00A80D5A" w:rsidRPr="0036101C" w:rsidRDefault="00A80D5A">
      <w:pPr>
        <w:jc w:val="center"/>
        <w:rPr>
          <w:rFonts w:ascii="Times New Roman" w:hAnsi="Times New Roman" w:cs="Times New Roman"/>
          <w:b/>
          <w:i/>
          <w:color w:val="1F4E79" w:themeColor="accent5" w:themeShade="80"/>
          <w:sz w:val="28"/>
          <w:shd w:val="clear" w:color="auto" w:fill="FFFFFF"/>
        </w:rPr>
      </w:pPr>
    </w:p>
    <w:p w14:paraId="159E9938" w14:textId="77777777" w:rsidR="00A80D5A" w:rsidRPr="0036101C" w:rsidRDefault="00A80D5A">
      <w:pPr>
        <w:jc w:val="center"/>
        <w:rPr>
          <w:rFonts w:ascii="Times New Roman" w:hAnsi="Times New Roman" w:cs="Times New Roman"/>
          <w:b/>
          <w:i/>
          <w:color w:val="1F4E79" w:themeColor="accent5" w:themeShade="80"/>
          <w:sz w:val="28"/>
          <w:shd w:val="clear" w:color="auto" w:fill="FFFFFF"/>
        </w:rPr>
      </w:pPr>
    </w:p>
    <w:p w14:paraId="0068BE6F" w14:textId="77777777" w:rsidR="00A80D5A" w:rsidRPr="0036101C" w:rsidRDefault="00A80D5A">
      <w:pPr>
        <w:jc w:val="center"/>
        <w:rPr>
          <w:rFonts w:ascii="Times New Roman" w:hAnsi="Times New Roman" w:cs="Times New Roman"/>
          <w:b/>
          <w:i/>
          <w:color w:val="1F4E79" w:themeColor="accent5" w:themeShade="80"/>
          <w:sz w:val="28"/>
          <w:shd w:val="clear" w:color="auto" w:fill="FFFFFF"/>
        </w:rPr>
      </w:pPr>
    </w:p>
    <w:p w14:paraId="4D5E4792" w14:textId="77777777" w:rsidR="00A80D5A" w:rsidRPr="0036101C" w:rsidRDefault="00A80D5A">
      <w:pPr>
        <w:jc w:val="center"/>
        <w:rPr>
          <w:rFonts w:ascii="Times New Roman" w:hAnsi="Times New Roman" w:cs="Times New Roman"/>
          <w:b/>
          <w:i/>
          <w:color w:val="1F4E79" w:themeColor="accent5" w:themeShade="80"/>
          <w:sz w:val="28"/>
          <w:shd w:val="clear" w:color="auto" w:fill="FFFFFF"/>
        </w:rPr>
      </w:pPr>
    </w:p>
    <w:p w14:paraId="34EC7C11" w14:textId="77777777" w:rsidR="00A80D5A" w:rsidRPr="0036101C" w:rsidRDefault="00A80D5A">
      <w:pPr>
        <w:jc w:val="center"/>
        <w:rPr>
          <w:rFonts w:ascii="Times New Roman" w:hAnsi="Times New Roman" w:cs="Times New Roman"/>
          <w:b/>
          <w:i/>
          <w:color w:val="1F4E79" w:themeColor="accent5" w:themeShade="80"/>
          <w:sz w:val="28"/>
          <w:shd w:val="clear" w:color="auto" w:fill="FFFFFF"/>
        </w:rPr>
      </w:pPr>
    </w:p>
    <w:p w14:paraId="595E8910" w14:textId="726D65C4" w:rsidR="00A80D5A" w:rsidRPr="0036101C" w:rsidRDefault="0036101C">
      <w:pPr>
        <w:jc w:val="center"/>
        <w:rPr>
          <w:rFonts w:ascii="Times New Roman" w:hAnsi="Times New Roman" w:cs="Times New Roman"/>
          <w:b/>
          <w:i/>
          <w:color w:val="1F4E79" w:themeColor="accent5" w:themeShade="80"/>
          <w:shd w:val="clear" w:color="auto" w:fill="FFFFFF"/>
        </w:rPr>
      </w:pPr>
      <w:r w:rsidRPr="0036101C">
        <w:rPr>
          <w:rFonts w:ascii="Times New Roman" w:hAnsi="Times New Roman" w:cs="Times New Roman"/>
          <w:b/>
          <w:i/>
          <w:color w:val="1F4E79" w:themeColor="accent5" w:themeShade="80"/>
          <w:shd w:val="clear" w:color="auto" w:fill="FFFFFF"/>
        </w:rPr>
        <w:t xml:space="preserve">Aplikoni në </w:t>
      </w:r>
      <w:hyperlink r:id="rId9">
        <w:r w:rsidRPr="0036101C">
          <w:rPr>
            <w:rStyle w:val="InternetLink"/>
            <w:rFonts w:ascii="Times New Roman" w:hAnsi="Times New Roman" w:cs="Times New Roman"/>
            <w:b/>
            <w:i/>
            <w:color w:val="1F4E79" w:themeColor="accent5" w:themeShade="80"/>
            <w:highlight w:val="white"/>
          </w:rPr>
          <w:t>www.EU4CR.mk</w:t>
        </w:r>
      </w:hyperlink>
      <w:r w:rsidRPr="0036101C">
        <w:rPr>
          <w:rFonts w:ascii="Times New Roman" w:hAnsi="Times New Roman" w:cs="Times New Roman"/>
          <w:b/>
          <w:i/>
          <w:color w:val="1F4E79" w:themeColor="accent5" w:themeShade="80"/>
          <w:shd w:val="clear" w:color="auto" w:fill="FFFFFF"/>
        </w:rPr>
        <w:t xml:space="preserve"> deri më </w:t>
      </w:r>
    </w:p>
    <w:p w14:paraId="2312E061" w14:textId="2C04D210" w:rsidR="00A80D5A" w:rsidRPr="00727709" w:rsidRDefault="0036101C" w:rsidP="00727709">
      <w:pPr>
        <w:pStyle w:val="P68B1DB1-ListParagraph6"/>
        <w:spacing w:before="120"/>
        <w:ind w:left="420"/>
        <w:jc w:val="center"/>
        <w:rPr>
          <w:highlight w:val="none"/>
        </w:rPr>
      </w:pPr>
      <w:r w:rsidRPr="00727709">
        <w:rPr>
          <w:highlight w:val="none"/>
        </w:rPr>
        <w:t xml:space="preserve"> </w:t>
      </w:r>
      <w:r w:rsidR="00727709">
        <w:rPr>
          <w:highlight w:val="none"/>
        </w:rPr>
        <w:t>15</w:t>
      </w:r>
      <w:r w:rsidR="00380C47" w:rsidRPr="00727709">
        <w:rPr>
          <w:highlight w:val="none"/>
        </w:rPr>
        <w:t xml:space="preserve"> </w:t>
      </w:r>
      <w:r w:rsidR="00727709">
        <w:rPr>
          <w:highlight w:val="none"/>
        </w:rPr>
        <w:t>n</w:t>
      </w:r>
      <w:r w:rsidR="00727709" w:rsidRPr="00727709">
        <w:rPr>
          <w:highlight w:val="none"/>
        </w:rPr>
        <w:t>ë</w:t>
      </w:r>
      <w:r w:rsidR="00727709">
        <w:rPr>
          <w:highlight w:val="none"/>
        </w:rPr>
        <w:t>ntor</w:t>
      </w:r>
      <w:r w:rsidR="00380C47" w:rsidRPr="00727709">
        <w:rPr>
          <w:highlight w:val="none"/>
        </w:rPr>
        <w:t xml:space="preserve"> </w:t>
      </w:r>
      <w:r w:rsidRPr="00727709">
        <w:rPr>
          <w:highlight w:val="none"/>
        </w:rPr>
        <w:t xml:space="preserve">2022 në orën 17:00 (ora lokale) </w:t>
      </w:r>
    </w:p>
    <w:p w14:paraId="5E5F7F06" w14:textId="77777777" w:rsidR="00A80D5A" w:rsidRPr="0036101C" w:rsidRDefault="00A80D5A">
      <w:pPr>
        <w:rPr>
          <w:rFonts w:ascii="Arial" w:hAnsi="Arial" w:cs="Arial"/>
        </w:rPr>
      </w:pPr>
    </w:p>
    <w:p w14:paraId="10990198" w14:textId="77777777" w:rsidR="00A80D5A" w:rsidRPr="0036101C" w:rsidRDefault="00A80D5A">
      <w:pPr>
        <w:jc w:val="both"/>
        <w:rPr>
          <w:rFonts w:ascii="Arial" w:hAnsi="Arial" w:cs="Arial"/>
          <w:color w:val="1F4E79" w:themeColor="accent5" w:themeShade="80"/>
          <w:sz w:val="22"/>
        </w:rPr>
      </w:pPr>
    </w:p>
    <w:p w14:paraId="58DED3B9" w14:textId="77777777" w:rsidR="00A80D5A" w:rsidRPr="0036101C" w:rsidRDefault="00A80D5A">
      <w:pPr>
        <w:jc w:val="both"/>
        <w:rPr>
          <w:rFonts w:ascii="Arial" w:hAnsi="Arial" w:cs="Arial"/>
          <w:color w:val="1F4E79" w:themeColor="accent5" w:themeShade="80"/>
          <w:sz w:val="22"/>
        </w:rPr>
      </w:pPr>
    </w:p>
    <w:p w14:paraId="776D4030" w14:textId="77777777" w:rsidR="00A80D5A" w:rsidRPr="0036101C" w:rsidRDefault="00A80D5A">
      <w:pPr>
        <w:jc w:val="both"/>
        <w:rPr>
          <w:rFonts w:ascii="Arial" w:hAnsi="Arial" w:cs="Arial"/>
          <w:color w:val="1F4E79" w:themeColor="accent5" w:themeShade="80"/>
          <w:sz w:val="22"/>
        </w:rPr>
      </w:pPr>
    </w:p>
    <w:p w14:paraId="3544656D" w14:textId="77777777" w:rsidR="00A80D5A" w:rsidRPr="0036101C" w:rsidRDefault="00A80D5A">
      <w:pPr>
        <w:jc w:val="both"/>
        <w:rPr>
          <w:rFonts w:ascii="Arial" w:hAnsi="Arial" w:cs="Arial"/>
          <w:color w:val="1F4E79" w:themeColor="accent5" w:themeShade="80"/>
          <w:sz w:val="22"/>
        </w:rPr>
      </w:pPr>
    </w:p>
    <w:p w14:paraId="003D4B6B" w14:textId="77777777" w:rsidR="00A80D5A" w:rsidRPr="0036101C" w:rsidRDefault="00A80D5A">
      <w:pPr>
        <w:spacing w:before="120" w:after="120"/>
        <w:jc w:val="both"/>
        <w:rPr>
          <w:rFonts w:ascii="Times New Roman" w:hAnsi="Times New Roman" w:cs="Times New Roman"/>
          <w:sz w:val="22"/>
        </w:rPr>
      </w:pPr>
    </w:p>
    <w:p w14:paraId="5F4639C1" w14:textId="15B556D3" w:rsidR="00A80D5A" w:rsidRPr="0036101C" w:rsidRDefault="0036101C">
      <w:pPr>
        <w:pStyle w:val="Guidelines2"/>
      </w:pPr>
      <w:r w:rsidRPr="0036101C">
        <w:lastRenderedPageBreak/>
        <w:t xml:space="preserve">objektivat e Thirrjes </w:t>
      </w:r>
    </w:p>
    <w:p w14:paraId="6882432B" w14:textId="427316F4" w:rsidR="00A80D5A" w:rsidRPr="0036101C" w:rsidRDefault="0036101C">
      <w:pPr>
        <w:pStyle w:val="P68B1DB1-Normal7"/>
        <w:spacing w:before="120" w:after="120"/>
        <w:jc w:val="both"/>
      </w:pPr>
      <w:r w:rsidRPr="0036101C">
        <w:t xml:space="preserve">Mekanizmi i Qëndrueshmërisë Civile të BE-së </w:t>
      </w:r>
      <w:r w:rsidRPr="0036101C">
        <w:rPr>
          <w:b/>
        </w:rPr>
        <w:t>(</w:t>
      </w:r>
      <w:r w:rsidR="009B4107">
        <w:rPr>
          <w:b/>
        </w:rPr>
        <w:t>CRM</w:t>
      </w:r>
      <w:r w:rsidRPr="0036101C">
        <w:rPr>
          <w:b/>
        </w:rPr>
        <w:t>)</w:t>
      </w:r>
      <w:r w:rsidRPr="0036101C">
        <w:t xml:space="preserve"> është një program mbështetës në </w:t>
      </w:r>
      <w:r w:rsidR="009B4107" w:rsidRPr="0036101C">
        <w:t>nat</w:t>
      </w:r>
      <w:r w:rsidR="009B4107">
        <w:t>y</w:t>
      </w:r>
      <w:r w:rsidR="009B4107" w:rsidRPr="0036101C">
        <w:t xml:space="preserve">rë </w:t>
      </w:r>
      <w:r w:rsidRPr="0036101C">
        <w:t xml:space="preserve">për organizatat e shoqërisë civile i </w:t>
      </w:r>
      <w:r w:rsidR="00056010">
        <w:t>lansuar</w:t>
      </w:r>
      <w:r w:rsidR="00056010" w:rsidRPr="0036101C">
        <w:t xml:space="preserve"> </w:t>
      </w:r>
      <w:r w:rsidRPr="0036101C">
        <w:t xml:space="preserve">në kuadër të projektit të financuar nga BE: Asistenca Teknike për përmirësimin e mjedisit mundësues për Organizatat e Shoqërisë Civile në Republikën e Maqedonisë së Veriut. </w:t>
      </w:r>
    </w:p>
    <w:p w14:paraId="6857A741" w14:textId="54446FF9" w:rsidR="00A80D5A" w:rsidRPr="0036101C" w:rsidRDefault="0036101C">
      <w:pPr>
        <w:pStyle w:val="P68B1DB1-Normal7"/>
        <w:spacing w:before="120" w:after="120"/>
        <w:jc w:val="both"/>
      </w:pPr>
      <w:r w:rsidRPr="0036101C">
        <w:t xml:space="preserve">Objektivi kryesor i këtij Programi është kontributi drejt zgjerimit të hapësirës dhe kapaciteteve të shoqërisë civile për trajtimin efikas të prioriteteve kryesore të reformave në komunitetet e tyre, të nevojshme për demokratizimin e mëtejshëm të shoqërisë. Nëpërmjet kësaj mbështetje, OShC-të duhet të krijojnë lidhje më të forta me qytetarët duke i angazhuar ata në vendimmarrje dhe politikëbërje me autoritetet publike, dhe në sigurimin e respektimit të </w:t>
      </w:r>
      <w:r w:rsidR="00093249">
        <w:t>sundimit t</w:t>
      </w:r>
      <w:r w:rsidR="00093249" w:rsidRPr="0036101C">
        <w:t>ë</w:t>
      </w:r>
      <w:r w:rsidR="00093249">
        <w:t xml:space="preserve"> ligjit</w:t>
      </w:r>
      <w:r w:rsidRPr="0036101C">
        <w:t xml:space="preserve"> dhe qeverisjes së mirë, të drejtave themelore dhe standardeve ndërkombëtare, ekonomisë sociale dhe më të gjelbër dhe aktiviteteve të tjera të rëndësishme për interesat e qytetarëve dhe përmirësimin e kushteve të tyre të jetesës. </w:t>
      </w:r>
    </w:p>
    <w:p w14:paraId="05B85244" w14:textId="6EF3C183" w:rsidR="00A80D5A" w:rsidRPr="0036101C" w:rsidRDefault="0036101C">
      <w:pPr>
        <w:pStyle w:val="P68B1DB1-Normal7"/>
        <w:spacing w:before="120" w:after="120"/>
        <w:jc w:val="both"/>
      </w:pPr>
      <w:r w:rsidRPr="0036101C">
        <w:t xml:space="preserve">Për më tepër, shpërthimi i pandemisë së </w:t>
      </w:r>
      <w:r w:rsidR="003618EB">
        <w:t>C</w:t>
      </w:r>
      <w:r w:rsidRPr="0036101C">
        <w:t xml:space="preserve">OVID-19 dhe ndikimi i saj negativ në sferat ekonomike dhe sociale rriti cenueshmërinë ekzistuese të shoqërisë.  Në këtë kontekst, Mekanizmi QC është i rëndësishëm për zgjerimin </w:t>
      </w:r>
      <w:r w:rsidRPr="0036101C">
        <w:rPr>
          <w:b/>
        </w:rPr>
        <w:t>e partneriteteve të BE-së me organizatat bazë të shoqërisë civile në Maqedoninë e Veriut</w:t>
      </w:r>
      <w:r w:rsidRPr="0036101C">
        <w:t xml:space="preserve"> në forcimin e mëtejshëm të komuniteteve lokale për ruajtjen e kohezionit social dhe dialogun e politikave për formimin e rimëkëmbjes socio-ekonomike drejt një shoqërie më të barabartë, </w:t>
      </w:r>
      <w:r w:rsidR="001B06C0" w:rsidRPr="001B06C0">
        <w:t>më të përgjegjshme</w:t>
      </w:r>
      <w:r w:rsidRPr="0036101C">
        <w:t xml:space="preserve"> gjinore dhe miqësore ndaj mjedisit. </w:t>
      </w:r>
    </w:p>
    <w:p w14:paraId="0B38B287" w14:textId="5B673BB4" w:rsidR="00A80D5A" w:rsidRPr="0036101C" w:rsidRDefault="0036101C">
      <w:pPr>
        <w:pStyle w:val="P68B1DB1-Normal7"/>
        <w:spacing w:before="120" w:after="120"/>
        <w:jc w:val="both"/>
      </w:pPr>
      <w:r w:rsidRPr="0036101C">
        <w:t xml:space="preserve">Në këtë aspekt, </w:t>
      </w:r>
      <w:r w:rsidRPr="0036101C">
        <w:rPr>
          <w:b/>
        </w:rPr>
        <w:t>mekanizmi QC do të shërbejë për t'u mundësuar organizatave të shoqërisë civile bazë të ndërmarrin veprime efikase dhe efektive</w:t>
      </w:r>
      <w:r w:rsidRPr="0036101C">
        <w:t xml:space="preserve"> për t'iu përgjigjur menjëherë nevojave reale në komunitetet e tyre dhe për të forcuar qëndrueshmërinë e qytetarëve gjatë ndryshimeve të shpeshta sociale, por edhe duke informuar qytetarët, objektivisht dhe në kohë, </w:t>
      </w:r>
      <w:r w:rsidR="00A93D0B">
        <w:t xml:space="preserve">mbi </w:t>
      </w:r>
      <w:r w:rsidRPr="0036101C">
        <w:t>procesi</w:t>
      </w:r>
      <w:r w:rsidR="00A93D0B">
        <w:t>n</w:t>
      </w:r>
      <w:r w:rsidRPr="0036101C">
        <w:t xml:space="preserve"> </w:t>
      </w:r>
      <w:r w:rsidR="00A93D0B">
        <w:t>e</w:t>
      </w:r>
      <w:r w:rsidRPr="0036101C">
        <w:t xml:space="preserve"> anëtarësimit në BE dhe reformat sektoriale përkatëse në vend dhe ndikimi</w:t>
      </w:r>
      <w:r w:rsidR="00A93D0B">
        <w:t>n</w:t>
      </w:r>
      <w:r w:rsidRPr="0036101C">
        <w:t xml:space="preserve"> </w:t>
      </w:r>
      <w:r w:rsidR="00A93D0B">
        <w:t>e</w:t>
      </w:r>
      <w:r w:rsidRPr="0036101C">
        <w:t xml:space="preserve"> tyre real në jetën e përditshme të qytetarëve. </w:t>
      </w:r>
    </w:p>
    <w:p w14:paraId="2281E1DF" w14:textId="0260625E" w:rsidR="00A80D5A" w:rsidRPr="0036101C" w:rsidRDefault="0036101C">
      <w:pPr>
        <w:pStyle w:val="P68B1DB1-Normal8"/>
        <w:spacing w:before="120" w:after="120"/>
        <w:jc w:val="both"/>
      </w:pPr>
      <w:r w:rsidRPr="0036101C">
        <w:t>Objektivat/Shorti i Thirrjes:</w:t>
      </w:r>
    </w:p>
    <w:p w14:paraId="3DFE5A6C" w14:textId="5B5984E2" w:rsidR="00A80D5A" w:rsidRPr="0036101C" w:rsidRDefault="0036101C">
      <w:pPr>
        <w:pStyle w:val="P68B1DB1-Normal9"/>
        <w:suppressAutoHyphens/>
        <w:autoSpaceDE w:val="0"/>
      </w:pPr>
      <w:r w:rsidRPr="0036101C">
        <w:t>Veprimet e propozuara duhet të adresojnë të paktën një nga pesë objektivat/shortet e renditura më poshtë në mënyrë që një aplikim të konsiderohet i pranueshëm:</w:t>
      </w:r>
    </w:p>
    <w:p w14:paraId="5594A85A" w14:textId="61450590" w:rsidR="00A80D5A" w:rsidRPr="0036101C" w:rsidRDefault="0036101C">
      <w:pPr>
        <w:pStyle w:val="NormalWeb"/>
        <w:spacing w:before="120" w:beforeAutospacing="0" w:afterAutospacing="0"/>
        <w:jc w:val="both"/>
        <w:rPr>
          <w:rStyle w:val="apple-converted-space"/>
          <w:sz w:val="22"/>
          <w:shd w:val="clear" w:color="auto" w:fill="FFFFFF"/>
        </w:rPr>
      </w:pPr>
      <w:bookmarkStart w:id="0" w:name="_Hlk103259428"/>
      <w:r w:rsidRPr="0036101C">
        <w:rPr>
          <w:rStyle w:val="apple-converted-space"/>
          <w:sz w:val="22"/>
          <w:shd w:val="clear" w:color="auto" w:fill="FFFFFF"/>
        </w:rPr>
        <w:t>Objektiv</w:t>
      </w:r>
      <w:r w:rsidR="00271F67">
        <w:rPr>
          <w:rStyle w:val="apple-converted-space"/>
          <w:sz w:val="22"/>
          <w:shd w:val="clear" w:color="auto" w:fill="FFFFFF"/>
        </w:rPr>
        <w:t>i</w:t>
      </w:r>
      <w:r w:rsidRPr="0036101C">
        <w:rPr>
          <w:rStyle w:val="apple-converted-space"/>
          <w:sz w:val="22"/>
          <w:shd w:val="clear" w:color="auto" w:fill="FFFFFF"/>
        </w:rPr>
        <w:t xml:space="preserve">/Shorti 1: Të mundësojë OSHC-të të krijojnë dhe zbatojnë legjislacionin dhe politikat, si dhe të forcojnë rolin e avokuesit dhe vëzhguesit. </w:t>
      </w:r>
    </w:p>
    <w:p w14:paraId="430B7A8F" w14:textId="6E4EDAEB" w:rsidR="00A80D5A" w:rsidRPr="0036101C" w:rsidRDefault="0036101C">
      <w:pPr>
        <w:pStyle w:val="NormalWeb"/>
        <w:spacing w:before="120" w:beforeAutospacing="0" w:afterAutospacing="0"/>
        <w:jc w:val="both"/>
        <w:rPr>
          <w:rStyle w:val="apple-converted-space"/>
          <w:sz w:val="22"/>
          <w:highlight w:val="white"/>
        </w:rPr>
      </w:pPr>
      <w:r w:rsidRPr="0036101C">
        <w:rPr>
          <w:rStyle w:val="apple-converted-space"/>
          <w:sz w:val="22"/>
          <w:shd w:val="clear" w:color="auto" w:fill="FFFFFF"/>
        </w:rPr>
        <w:t>Objektivi/Shorti</w:t>
      </w:r>
      <w:r w:rsidR="00A93D0B">
        <w:rPr>
          <w:rStyle w:val="apple-converted-space"/>
          <w:sz w:val="22"/>
          <w:shd w:val="clear" w:color="auto" w:fill="FFFFFF"/>
        </w:rPr>
        <w:t xml:space="preserve"> </w:t>
      </w:r>
      <w:r w:rsidRPr="0036101C">
        <w:rPr>
          <w:rStyle w:val="apple-converted-space"/>
          <w:sz w:val="22"/>
          <w:shd w:val="clear" w:color="auto" w:fill="FFFFFF"/>
        </w:rPr>
        <w:t>2:</w:t>
      </w:r>
      <w:r w:rsidR="006114E2">
        <w:rPr>
          <w:rStyle w:val="apple-converted-space"/>
          <w:sz w:val="22"/>
          <w:shd w:val="clear" w:color="auto" w:fill="FFFFFF"/>
        </w:rPr>
        <w:t xml:space="preserve"> T</w:t>
      </w:r>
      <w:r w:rsidR="006114E2" w:rsidRPr="0036101C">
        <w:rPr>
          <w:rStyle w:val="apple-converted-space"/>
          <w:sz w:val="22"/>
          <w:shd w:val="clear" w:color="auto" w:fill="FFFFFF"/>
        </w:rPr>
        <w:t>ë</w:t>
      </w:r>
      <w:r w:rsidR="006114E2">
        <w:rPr>
          <w:rStyle w:val="apple-converted-space"/>
          <w:sz w:val="22"/>
          <w:shd w:val="clear" w:color="auto" w:fill="FFFFFF"/>
        </w:rPr>
        <w:t xml:space="preserve"> p</w:t>
      </w:r>
      <w:r w:rsidRPr="0036101C">
        <w:rPr>
          <w:rStyle w:val="apple-converted-space"/>
          <w:sz w:val="22"/>
          <w:shd w:val="clear" w:color="auto" w:fill="FFFFFF"/>
        </w:rPr>
        <w:t>ërmirës</w:t>
      </w:r>
      <w:r w:rsidR="006114E2">
        <w:rPr>
          <w:rStyle w:val="apple-converted-space"/>
          <w:sz w:val="22"/>
          <w:shd w:val="clear" w:color="auto" w:fill="FFFFFF"/>
        </w:rPr>
        <w:t>oj</w:t>
      </w:r>
      <w:r w:rsidR="006114E2" w:rsidRPr="0036101C">
        <w:rPr>
          <w:rStyle w:val="apple-converted-space"/>
          <w:sz w:val="22"/>
          <w:shd w:val="clear" w:color="auto" w:fill="FFFFFF"/>
        </w:rPr>
        <w:t>ë</w:t>
      </w:r>
      <w:r w:rsidRPr="0036101C">
        <w:rPr>
          <w:rStyle w:val="apple-converted-space"/>
          <w:sz w:val="22"/>
          <w:shd w:val="clear" w:color="auto" w:fill="FFFFFF"/>
        </w:rPr>
        <w:t xml:space="preserve"> OSHC-</w:t>
      </w:r>
      <w:r w:rsidR="006114E2">
        <w:rPr>
          <w:rStyle w:val="apple-converted-space"/>
          <w:sz w:val="22"/>
          <w:shd w:val="clear" w:color="auto" w:fill="FFFFFF"/>
        </w:rPr>
        <w:t>t</w:t>
      </w:r>
      <w:r w:rsidR="006114E2" w:rsidRPr="0036101C">
        <w:rPr>
          <w:rStyle w:val="apple-converted-space"/>
          <w:sz w:val="22"/>
          <w:shd w:val="clear" w:color="auto" w:fill="FFFFFF"/>
        </w:rPr>
        <w:t>ë</w:t>
      </w:r>
      <w:r w:rsidRPr="0036101C">
        <w:rPr>
          <w:rStyle w:val="apple-converted-space"/>
          <w:sz w:val="22"/>
          <w:shd w:val="clear" w:color="auto" w:fill="FFFFFF"/>
        </w:rPr>
        <w:t xml:space="preserve"> për të rritur rrjetëzimin sektorial, dialogun dhe bashkëpunimin me institucionet publike (qendrore dhe lokale) dhe komunitetin</w:t>
      </w:r>
      <w:r w:rsidR="006114E2">
        <w:rPr>
          <w:rStyle w:val="apple-converted-space"/>
          <w:sz w:val="22"/>
          <w:shd w:val="clear" w:color="auto" w:fill="FFFFFF"/>
        </w:rPr>
        <w:t xml:space="preserve"> e </w:t>
      </w:r>
      <w:r w:rsidR="006114E2" w:rsidRPr="0036101C">
        <w:rPr>
          <w:rStyle w:val="apple-converted-space"/>
          <w:sz w:val="22"/>
          <w:shd w:val="clear" w:color="auto" w:fill="FFFFFF"/>
        </w:rPr>
        <w:t>biznes</w:t>
      </w:r>
      <w:r w:rsidR="006114E2">
        <w:rPr>
          <w:rStyle w:val="apple-converted-space"/>
          <w:sz w:val="22"/>
          <w:shd w:val="clear" w:color="auto" w:fill="FFFFFF"/>
        </w:rPr>
        <w:t>it</w:t>
      </w:r>
      <w:r w:rsidRPr="0036101C">
        <w:rPr>
          <w:rStyle w:val="apple-converted-space"/>
          <w:sz w:val="22"/>
          <w:shd w:val="clear" w:color="auto" w:fill="FFFFFF"/>
        </w:rPr>
        <w:t xml:space="preserve">. </w:t>
      </w:r>
    </w:p>
    <w:p w14:paraId="2A698F13" w14:textId="2B7CCC9E" w:rsidR="00A80D5A" w:rsidRPr="0036101C" w:rsidRDefault="0036101C">
      <w:pPr>
        <w:pStyle w:val="NormalWeb"/>
        <w:spacing w:before="120" w:beforeAutospacing="0" w:afterAutospacing="0"/>
        <w:jc w:val="both"/>
        <w:rPr>
          <w:rStyle w:val="apple-converted-space"/>
          <w:sz w:val="22"/>
          <w:highlight w:val="white"/>
        </w:rPr>
      </w:pPr>
      <w:r w:rsidRPr="0036101C">
        <w:rPr>
          <w:rStyle w:val="apple-converted-space"/>
          <w:sz w:val="22"/>
        </w:rPr>
        <w:t>Objektiv</w:t>
      </w:r>
      <w:r w:rsidR="00271F67">
        <w:rPr>
          <w:rStyle w:val="apple-converted-space"/>
          <w:sz w:val="22"/>
        </w:rPr>
        <w:t>i</w:t>
      </w:r>
      <w:r w:rsidRPr="0036101C">
        <w:rPr>
          <w:rStyle w:val="apple-converted-space"/>
          <w:sz w:val="22"/>
        </w:rPr>
        <w:t xml:space="preserve">/Shorti 3: </w:t>
      </w:r>
      <w:r w:rsidRPr="0036101C">
        <w:rPr>
          <w:rStyle w:val="apple-converted-space"/>
          <w:sz w:val="22"/>
          <w:shd w:val="clear" w:color="auto" w:fill="FFFFFF"/>
        </w:rPr>
        <w:t xml:space="preserve">Të mbështesë OSHC-të në promovimin dhe avancimin e demokracisë dhe të drejtave të njeriut përmes veprimeve të bazuara në të drejtat. </w:t>
      </w:r>
    </w:p>
    <w:p w14:paraId="2EA29E8D" w14:textId="5AD7CF38" w:rsidR="00A80D5A" w:rsidRPr="0036101C" w:rsidRDefault="0036101C">
      <w:pPr>
        <w:pStyle w:val="NormalWeb"/>
        <w:spacing w:before="120" w:beforeAutospacing="0" w:afterAutospacing="0"/>
        <w:jc w:val="both"/>
        <w:rPr>
          <w:rStyle w:val="apple-converted-space"/>
          <w:sz w:val="22"/>
          <w:highlight w:val="white"/>
        </w:rPr>
      </w:pPr>
      <w:r w:rsidRPr="0036101C">
        <w:rPr>
          <w:rStyle w:val="apple-converted-space"/>
          <w:sz w:val="22"/>
          <w:shd w:val="clear" w:color="auto" w:fill="FFFFFF"/>
        </w:rPr>
        <w:t>Objektivi/</w:t>
      </w:r>
      <w:r w:rsidR="00A93D0B">
        <w:rPr>
          <w:rStyle w:val="apple-converted-space"/>
          <w:sz w:val="22"/>
          <w:shd w:val="clear" w:color="auto" w:fill="FFFFFF"/>
        </w:rPr>
        <w:t>Shorti</w:t>
      </w:r>
      <w:r w:rsidR="00A93D0B" w:rsidRPr="0036101C">
        <w:rPr>
          <w:rStyle w:val="apple-converted-space"/>
          <w:sz w:val="22"/>
          <w:shd w:val="clear" w:color="auto" w:fill="FFFFFF"/>
        </w:rPr>
        <w:t xml:space="preserve"> </w:t>
      </w:r>
      <w:r w:rsidRPr="0036101C">
        <w:rPr>
          <w:rStyle w:val="apple-converted-space"/>
          <w:sz w:val="22"/>
          <w:shd w:val="clear" w:color="auto" w:fill="FFFFFF"/>
        </w:rPr>
        <w:t xml:space="preserve">4: </w:t>
      </w:r>
      <w:r w:rsidR="006114E2">
        <w:rPr>
          <w:rStyle w:val="apple-converted-space"/>
          <w:sz w:val="22"/>
          <w:shd w:val="clear" w:color="auto" w:fill="FFFFFF"/>
        </w:rPr>
        <w:t>T</w:t>
      </w:r>
      <w:r w:rsidR="006114E2" w:rsidRPr="0036101C">
        <w:rPr>
          <w:rStyle w:val="apple-converted-space"/>
          <w:sz w:val="22"/>
          <w:shd w:val="clear" w:color="auto" w:fill="FFFFFF"/>
        </w:rPr>
        <w:t>ë</w:t>
      </w:r>
      <w:r w:rsidR="006114E2">
        <w:rPr>
          <w:rStyle w:val="apple-converted-space"/>
          <w:sz w:val="22"/>
          <w:shd w:val="clear" w:color="auto" w:fill="FFFFFF"/>
        </w:rPr>
        <w:t xml:space="preserve"> p</w:t>
      </w:r>
      <w:r w:rsidR="006114E2" w:rsidRPr="0036101C">
        <w:rPr>
          <w:rStyle w:val="apple-converted-space"/>
          <w:sz w:val="22"/>
          <w:shd w:val="clear" w:color="auto" w:fill="FFFFFF"/>
        </w:rPr>
        <w:t>ë</w:t>
      </w:r>
      <w:r w:rsidR="006114E2">
        <w:rPr>
          <w:rStyle w:val="apple-converted-space"/>
          <w:sz w:val="22"/>
          <w:shd w:val="clear" w:color="auto" w:fill="FFFFFF"/>
        </w:rPr>
        <w:t>rmir</w:t>
      </w:r>
      <w:r w:rsidR="006114E2" w:rsidRPr="0036101C">
        <w:rPr>
          <w:rStyle w:val="apple-converted-space"/>
          <w:sz w:val="22"/>
          <w:shd w:val="clear" w:color="auto" w:fill="FFFFFF"/>
        </w:rPr>
        <w:t>ë</w:t>
      </w:r>
      <w:r w:rsidR="006114E2">
        <w:rPr>
          <w:rStyle w:val="apple-converted-space"/>
          <w:sz w:val="22"/>
          <w:shd w:val="clear" w:color="auto" w:fill="FFFFFF"/>
        </w:rPr>
        <w:t>soj</w:t>
      </w:r>
      <w:r w:rsidR="006114E2" w:rsidRPr="0036101C">
        <w:rPr>
          <w:rStyle w:val="apple-converted-space"/>
          <w:sz w:val="22"/>
          <w:shd w:val="clear" w:color="auto" w:fill="FFFFFF"/>
        </w:rPr>
        <w:t>ë</w:t>
      </w:r>
      <w:r w:rsidRPr="0036101C">
        <w:rPr>
          <w:rStyle w:val="apple-converted-space"/>
          <w:sz w:val="22"/>
          <w:shd w:val="clear" w:color="auto" w:fill="FFFFFF"/>
        </w:rPr>
        <w:t xml:space="preserve"> dukshmëri</w:t>
      </w:r>
      <w:r w:rsidR="006114E2">
        <w:rPr>
          <w:rStyle w:val="apple-converted-space"/>
          <w:sz w:val="22"/>
          <w:shd w:val="clear" w:color="auto" w:fill="FFFFFF"/>
        </w:rPr>
        <w:t>n</w:t>
      </w:r>
      <w:r w:rsidR="006114E2" w:rsidRPr="0036101C">
        <w:rPr>
          <w:rStyle w:val="apple-converted-space"/>
          <w:sz w:val="22"/>
          <w:shd w:val="clear" w:color="auto" w:fill="FFFFFF"/>
        </w:rPr>
        <w:t>ë</w:t>
      </w:r>
      <w:r w:rsidRPr="0036101C">
        <w:rPr>
          <w:rStyle w:val="apple-converted-space"/>
          <w:sz w:val="22"/>
          <w:shd w:val="clear" w:color="auto" w:fill="FFFFFF"/>
        </w:rPr>
        <w:t xml:space="preserve"> </w:t>
      </w:r>
      <w:r w:rsidR="006114E2">
        <w:rPr>
          <w:rStyle w:val="apple-converted-space"/>
          <w:sz w:val="22"/>
          <w:shd w:val="clear" w:color="auto" w:fill="FFFFFF"/>
        </w:rPr>
        <w:t>e</w:t>
      </w:r>
      <w:r w:rsidRPr="0036101C">
        <w:rPr>
          <w:rStyle w:val="apple-converted-space"/>
          <w:sz w:val="22"/>
          <w:shd w:val="clear" w:color="auto" w:fill="FFFFFF"/>
        </w:rPr>
        <w:t xml:space="preserve"> punës së OSHC-ve dhe forcimi</w:t>
      </w:r>
      <w:r w:rsidR="006114E2">
        <w:rPr>
          <w:rStyle w:val="apple-converted-space"/>
          <w:sz w:val="22"/>
          <w:shd w:val="clear" w:color="auto" w:fill="FFFFFF"/>
        </w:rPr>
        <w:t>n</w:t>
      </w:r>
      <w:r w:rsidRPr="0036101C">
        <w:rPr>
          <w:rStyle w:val="apple-converted-space"/>
          <w:sz w:val="22"/>
          <w:shd w:val="clear" w:color="auto" w:fill="FFFFFF"/>
        </w:rPr>
        <w:t xml:space="preserve"> </w:t>
      </w:r>
      <w:r w:rsidR="006114E2">
        <w:rPr>
          <w:rStyle w:val="apple-converted-space"/>
          <w:sz w:val="22"/>
          <w:shd w:val="clear" w:color="auto" w:fill="FFFFFF"/>
        </w:rPr>
        <w:t>e</w:t>
      </w:r>
      <w:r w:rsidRPr="0036101C">
        <w:rPr>
          <w:rStyle w:val="apple-converted-space"/>
          <w:sz w:val="22"/>
          <w:shd w:val="clear" w:color="auto" w:fill="FFFFFF"/>
        </w:rPr>
        <w:t xml:space="preserve"> komunikimit me </w:t>
      </w:r>
      <w:r w:rsidR="007A4C64">
        <w:rPr>
          <w:rStyle w:val="apple-converted-space"/>
          <w:sz w:val="22"/>
          <w:shd w:val="clear" w:color="auto" w:fill="FFFFFF"/>
        </w:rPr>
        <w:t>an</w:t>
      </w:r>
      <w:r w:rsidR="007A4C64" w:rsidRPr="0036101C">
        <w:rPr>
          <w:rStyle w:val="apple-converted-space"/>
          <w:sz w:val="22"/>
          <w:shd w:val="clear" w:color="auto" w:fill="FFFFFF"/>
        </w:rPr>
        <w:t>ët</w:t>
      </w:r>
      <w:r w:rsidR="007A4C64">
        <w:rPr>
          <w:rStyle w:val="apple-converted-space"/>
          <w:sz w:val="22"/>
          <w:shd w:val="clear" w:color="auto" w:fill="FFFFFF"/>
        </w:rPr>
        <w:t>ar</w:t>
      </w:r>
      <w:r w:rsidR="007A4C64" w:rsidRPr="0036101C">
        <w:rPr>
          <w:rStyle w:val="apple-converted-space"/>
          <w:sz w:val="22"/>
          <w:shd w:val="clear" w:color="auto" w:fill="FFFFFF"/>
        </w:rPr>
        <w:t>ë</w:t>
      </w:r>
      <w:r w:rsidR="007A4C64">
        <w:rPr>
          <w:rStyle w:val="apple-converted-space"/>
          <w:sz w:val="22"/>
          <w:shd w:val="clear" w:color="auto" w:fill="FFFFFF"/>
        </w:rPr>
        <w:t>si</w:t>
      </w:r>
      <w:r w:rsidR="007A4C64" w:rsidRPr="0036101C">
        <w:rPr>
          <w:rStyle w:val="apple-converted-space"/>
          <w:sz w:val="22"/>
          <w:shd w:val="clear" w:color="auto" w:fill="FFFFFF"/>
        </w:rPr>
        <w:t xml:space="preserve"> </w:t>
      </w:r>
      <w:r w:rsidR="007A4C64">
        <w:rPr>
          <w:rStyle w:val="apple-converted-space"/>
          <w:sz w:val="22"/>
          <w:shd w:val="clear" w:color="auto" w:fill="FFFFFF"/>
        </w:rPr>
        <w:t>t</w:t>
      </w:r>
      <w:r w:rsidR="007A4C64" w:rsidRPr="0036101C">
        <w:rPr>
          <w:rStyle w:val="apple-converted-space"/>
          <w:sz w:val="22"/>
          <w:shd w:val="clear" w:color="auto" w:fill="FFFFFF"/>
        </w:rPr>
        <w:t>ë</w:t>
      </w:r>
      <w:r w:rsidR="007A4C64">
        <w:rPr>
          <w:rStyle w:val="apple-converted-space"/>
          <w:sz w:val="22"/>
          <w:shd w:val="clear" w:color="auto" w:fill="FFFFFF"/>
        </w:rPr>
        <w:t xml:space="preserve"> </w:t>
      </w:r>
      <w:r w:rsidR="007A4C64" w:rsidRPr="0036101C">
        <w:rPr>
          <w:rStyle w:val="apple-converted-space"/>
          <w:sz w:val="22"/>
          <w:shd w:val="clear" w:color="auto" w:fill="FFFFFF"/>
        </w:rPr>
        <w:t>tyre</w:t>
      </w:r>
      <w:r w:rsidR="007A4C64" w:rsidRPr="0036101C" w:rsidDel="007A4C64">
        <w:rPr>
          <w:rStyle w:val="apple-converted-space"/>
          <w:sz w:val="22"/>
          <w:shd w:val="clear" w:color="auto" w:fill="FFFFFF"/>
        </w:rPr>
        <w:t xml:space="preserve"> </w:t>
      </w:r>
      <w:r w:rsidRPr="0036101C">
        <w:rPr>
          <w:rStyle w:val="apple-converted-space"/>
          <w:sz w:val="22"/>
          <w:shd w:val="clear" w:color="auto" w:fill="FFFFFF"/>
        </w:rPr>
        <w:t>dhe palët e interesuara sektoriale.</w:t>
      </w:r>
    </w:p>
    <w:p w14:paraId="2FA9481D" w14:textId="07411596" w:rsidR="00A80D5A" w:rsidRPr="0036101C" w:rsidRDefault="0036101C">
      <w:pPr>
        <w:pStyle w:val="NormalWeb"/>
        <w:spacing w:before="120" w:beforeAutospacing="0" w:afterAutospacing="0"/>
        <w:jc w:val="both"/>
        <w:rPr>
          <w:rStyle w:val="apple-converted-space"/>
          <w:sz w:val="22"/>
          <w:highlight w:val="white"/>
        </w:rPr>
      </w:pPr>
      <w:r w:rsidRPr="0036101C">
        <w:rPr>
          <w:rStyle w:val="apple-converted-space"/>
          <w:sz w:val="22"/>
          <w:shd w:val="clear" w:color="auto" w:fill="FFFFFF"/>
        </w:rPr>
        <w:t xml:space="preserve">Objektivi/Shorti 5: </w:t>
      </w:r>
      <w:r w:rsidR="00271F67" w:rsidRPr="00271F67">
        <w:rPr>
          <w:rStyle w:val="apple-converted-space"/>
          <w:sz w:val="22"/>
          <w:shd w:val="clear" w:color="auto" w:fill="FFFFFF"/>
        </w:rPr>
        <w:t xml:space="preserve">Të inkurajojë rrjetëzimin dhe shkëmbimin </w:t>
      </w:r>
      <w:r w:rsidR="00271F67">
        <w:rPr>
          <w:rStyle w:val="apple-converted-space"/>
          <w:sz w:val="22"/>
          <w:shd w:val="clear" w:color="auto" w:fill="FFFFFF"/>
        </w:rPr>
        <w:t xml:space="preserve">e </w:t>
      </w:r>
      <w:r w:rsidRPr="0036101C">
        <w:rPr>
          <w:rStyle w:val="apple-converted-space"/>
          <w:sz w:val="22"/>
          <w:shd w:val="clear" w:color="auto" w:fill="FFFFFF"/>
        </w:rPr>
        <w:t xml:space="preserve">praktikave të mira ndërmjet OSHC-ve, në vend dhe me OSHC-të me bazë IPA/BE (krijimi i nismave dhe platformave qytetare dhe/ose pjesëmarrja në organizatat ombrellë evropiane për bashkëpunim strukturor). </w:t>
      </w:r>
    </w:p>
    <w:bookmarkEnd w:id="0"/>
    <w:p w14:paraId="13C5FF65" w14:textId="77777777" w:rsidR="00A80D5A" w:rsidRPr="0036101C" w:rsidRDefault="00A80D5A">
      <w:pPr>
        <w:spacing w:before="120" w:after="120"/>
        <w:jc w:val="both"/>
        <w:rPr>
          <w:rFonts w:ascii="Times New Roman" w:hAnsi="Times New Roman" w:cs="Times New Roman"/>
          <w:sz w:val="22"/>
        </w:rPr>
      </w:pPr>
    </w:p>
    <w:p w14:paraId="5A7AF3B2" w14:textId="50CD8656" w:rsidR="00A80D5A" w:rsidRPr="0036101C" w:rsidRDefault="0036101C">
      <w:pPr>
        <w:pStyle w:val="Guidelines2"/>
      </w:pPr>
      <w:bookmarkStart w:id="1" w:name="_Toc70975287"/>
      <w:r w:rsidRPr="0036101C">
        <w:t xml:space="preserve">1. Shpërndarja financiare </w:t>
      </w:r>
      <w:bookmarkEnd w:id="1"/>
    </w:p>
    <w:p w14:paraId="39E3D6B8" w14:textId="67FD4F86" w:rsidR="00A80D5A" w:rsidRPr="0036101C" w:rsidRDefault="0036101C">
      <w:pPr>
        <w:pStyle w:val="P68B1DB1-Normal10"/>
      </w:pPr>
      <w:r w:rsidRPr="0036101C">
        <w:t xml:space="preserve">Shuma e përgjithshme treguese e vënë në dispozicion në kuadër të kësaj thirrje për mbështetje në natyrë është </w:t>
      </w:r>
      <w:r w:rsidR="00380C47" w:rsidRPr="00727709">
        <w:t>900</w:t>
      </w:r>
      <w:r w:rsidRPr="00727709">
        <w:t>,000</w:t>
      </w:r>
      <w:r w:rsidRPr="0036101C">
        <w:t xml:space="preserve"> EUR.</w:t>
      </w:r>
    </w:p>
    <w:p w14:paraId="4583AB32" w14:textId="7EC5C9E2" w:rsidR="00A80D5A" w:rsidRPr="0036101C" w:rsidRDefault="0036101C">
      <w:pPr>
        <w:pStyle w:val="P68B1DB1-Normal7"/>
        <w:spacing w:before="120"/>
        <w:jc w:val="both"/>
      </w:pPr>
      <w:r w:rsidRPr="0036101C">
        <w:t xml:space="preserve">Gjatë raundit të parë të aplikimit, do të jepet mbështetje në </w:t>
      </w:r>
      <w:r w:rsidRPr="00727709">
        <w:t>nat</w:t>
      </w:r>
      <w:r w:rsidR="007A4C64" w:rsidRPr="00727709">
        <w:t>y</w:t>
      </w:r>
      <w:r w:rsidRPr="00727709">
        <w:t xml:space="preserve">rë deri në </w:t>
      </w:r>
      <w:r w:rsidR="00727709">
        <w:t>6</w:t>
      </w:r>
      <w:r w:rsidR="00380C47" w:rsidRPr="00727709">
        <w:t>00</w:t>
      </w:r>
      <w:r w:rsidRPr="00727709">
        <w:t>,000</w:t>
      </w:r>
      <w:r w:rsidRPr="0036101C">
        <w:t xml:space="preserve"> EUR. </w:t>
      </w:r>
    </w:p>
    <w:p w14:paraId="3B943063" w14:textId="77777777" w:rsidR="00A80D5A" w:rsidRPr="0036101C" w:rsidRDefault="00A80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rPr>
          <w:rFonts w:ascii="Times New Roman" w:hAnsi="Times New Roman" w:cs="Times New Roman"/>
          <w:b/>
          <w:sz w:val="22"/>
          <w:shd w:val="clear" w:color="auto" w:fill="FFFFFF"/>
        </w:rPr>
      </w:pPr>
    </w:p>
    <w:p w14:paraId="5DFB70D7" w14:textId="2727D405" w:rsidR="00A80D5A" w:rsidRPr="0036101C" w:rsidRDefault="0036101C">
      <w:pPr>
        <w:pStyle w:val="P68B1DB1-Normal11"/>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pPr>
      <w:r w:rsidRPr="0036101C">
        <w:lastRenderedPageBreak/>
        <w:t xml:space="preserve">Shpërndarja treguese e mbështetjes në </w:t>
      </w:r>
      <w:r w:rsidR="00073CBC" w:rsidRPr="0036101C">
        <w:t>nat</w:t>
      </w:r>
      <w:r w:rsidR="00073CBC">
        <w:t>y</w:t>
      </w:r>
      <w:r w:rsidR="00073CBC" w:rsidRPr="0036101C">
        <w:t xml:space="preserve">rë </w:t>
      </w:r>
      <w:r w:rsidRPr="0036101C">
        <w:t>me short:</w:t>
      </w:r>
    </w:p>
    <w:p w14:paraId="1224D61A" w14:textId="1E129FA0" w:rsidR="00A80D5A" w:rsidRPr="0036101C" w:rsidRDefault="0036101C">
      <w:pPr>
        <w:pStyle w:val="P68B1DB1-Normal10"/>
        <w:keepNext/>
        <w:tabs>
          <w:tab w:val="left" w:pos="7920"/>
        </w:tabs>
        <w:suppressAutoHyphens/>
        <w:autoSpaceDE w:val="0"/>
      </w:pPr>
      <w:r w:rsidRPr="0036101C">
        <w:tab/>
      </w:r>
    </w:p>
    <w:p w14:paraId="58884356" w14:textId="3DFD8514" w:rsidR="00A80D5A" w:rsidRPr="0036101C" w:rsidRDefault="0036101C">
      <w:pPr>
        <w:keepNext/>
        <w:suppressAutoHyphens/>
        <w:autoSpaceDE w:val="0"/>
        <w:ind w:left="1440" w:hanging="1440"/>
        <w:jc w:val="both"/>
        <w:rPr>
          <w:rFonts w:ascii="Times New Roman" w:hAnsi="Times New Roman" w:cs="Times New Roman"/>
          <w:sz w:val="22"/>
          <w:shd w:val="clear" w:color="auto" w:fill="FFFFFF"/>
        </w:rPr>
      </w:pPr>
      <w:r w:rsidRPr="0036101C">
        <w:rPr>
          <w:rFonts w:ascii="Times New Roman" w:hAnsi="Times New Roman" w:cs="Times New Roman"/>
          <w:sz w:val="22"/>
          <w:shd w:val="clear" w:color="auto" w:fill="FFFFFF"/>
        </w:rPr>
        <w:t xml:space="preserve">Shorti 1: </w:t>
      </w:r>
      <w:r w:rsidRPr="0036101C">
        <w:rPr>
          <w:rFonts w:ascii="Times New Roman" w:hAnsi="Times New Roman" w:cs="Times New Roman"/>
          <w:sz w:val="22"/>
          <w:shd w:val="clear" w:color="auto" w:fill="FFFFFF"/>
        </w:rPr>
        <w:tab/>
      </w:r>
      <w:r w:rsidRPr="0036101C">
        <w:rPr>
          <w:rFonts w:ascii="Times New Roman" w:hAnsi="Times New Roman" w:cs="Times New Roman"/>
          <w:b/>
          <w:sz w:val="22"/>
          <w:shd w:val="clear" w:color="auto" w:fill="FFFFFF"/>
        </w:rPr>
        <w:t>Të mundësojë OSHC-të të krijojnë dhe zbatojnë legjislacionin dhe politikat, si dhe të forcojnë rolin e avokuesit dhe</w:t>
      </w:r>
      <w:r w:rsidRPr="0036101C">
        <w:rPr>
          <w:rFonts w:ascii="Times New Roman" w:hAnsi="Times New Roman" w:cs="Times New Roman"/>
          <w:sz w:val="22"/>
          <w:shd w:val="clear" w:color="auto" w:fill="FFFFFF"/>
        </w:rPr>
        <w:t xml:space="preserve"> </w:t>
      </w:r>
      <w:r w:rsidRPr="00727709">
        <w:rPr>
          <w:rFonts w:ascii="Times New Roman" w:hAnsi="Times New Roman" w:cs="Times New Roman"/>
          <w:b/>
          <w:bCs/>
          <w:sz w:val="22"/>
          <w:shd w:val="clear" w:color="auto" w:fill="FFFFFF"/>
        </w:rPr>
        <w:t>vëzhguesit</w:t>
      </w:r>
      <w:r w:rsidRPr="0036101C">
        <w:rPr>
          <w:rStyle w:val="apple-converted-space"/>
          <w:rFonts w:ascii="Times New Roman" w:hAnsi="Times New Roman" w:cs="Times New Roman"/>
          <w:sz w:val="22"/>
          <w:shd w:val="clear" w:color="auto" w:fill="FFFFFF"/>
        </w:rPr>
        <w:t>.</w:t>
      </w:r>
    </w:p>
    <w:p w14:paraId="056BC279" w14:textId="41E7321F" w:rsidR="00A80D5A" w:rsidRPr="0036101C" w:rsidRDefault="0036101C">
      <w:pPr>
        <w:pStyle w:val="P68B1DB1-Normal10"/>
        <w:suppressAutoHyphens/>
        <w:autoSpaceDE w:val="0"/>
        <w:ind w:left="720" w:firstLine="720"/>
      </w:pPr>
      <w:r w:rsidRPr="0036101C">
        <w:t xml:space="preserve">Shuma për Objektivin 1:  </w:t>
      </w:r>
      <w:r w:rsidRPr="0036101C">
        <w:tab/>
      </w:r>
      <w:r w:rsidRPr="0036101C">
        <w:tab/>
      </w:r>
      <w:r w:rsidRPr="00727709">
        <w:t>1</w:t>
      </w:r>
      <w:r w:rsidR="00380C47" w:rsidRPr="00727709">
        <w:t>8</w:t>
      </w:r>
      <w:r w:rsidRPr="00727709">
        <w:t>0,000 EUR</w:t>
      </w:r>
    </w:p>
    <w:p w14:paraId="0BB807E4" w14:textId="77777777" w:rsidR="00A80D5A" w:rsidRPr="0036101C" w:rsidRDefault="00A80D5A">
      <w:pPr>
        <w:suppressAutoHyphens/>
        <w:autoSpaceDE w:val="0"/>
        <w:ind w:left="720" w:firstLine="720"/>
        <w:rPr>
          <w:rFonts w:ascii="Times New Roman" w:hAnsi="Times New Roman" w:cs="Times New Roman"/>
          <w:sz w:val="22"/>
          <w:shd w:val="clear" w:color="auto" w:fill="FFFFFF"/>
        </w:rPr>
      </w:pPr>
    </w:p>
    <w:p w14:paraId="7FC187DF" w14:textId="11BCABD4" w:rsidR="00A80D5A" w:rsidRPr="0036101C" w:rsidRDefault="0036101C">
      <w:pPr>
        <w:suppressAutoHyphens/>
        <w:autoSpaceDE w:val="0"/>
        <w:ind w:left="1440" w:hanging="1440"/>
        <w:rPr>
          <w:rFonts w:ascii="Times New Roman" w:hAnsi="Times New Roman" w:cs="Times New Roman"/>
          <w:sz w:val="22"/>
          <w:shd w:val="clear" w:color="auto" w:fill="FFFFFF"/>
        </w:rPr>
      </w:pPr>
      <w:r w:rsidRPr="0036101C">
        <w:rPr>
          <w:rFonts w:ascii="Times New Roman" w:hAnsi="Times New Roman" w:cs="Times New Roman"/>
          <w:sz w:val="22"/>
          <w:shd w:val="clear" w:color="auto" w:fill="FFFFFF"/>
        </w:rPr>
        <w:t>Shorti 2:</w:t>
      </w:r>
      <w:r w:rsidRPr="0036101C">
        <w:rPr>
          <w:rFonts w:ascii="Times New Roman" w:hAnsi="Times New Roman" w:cs="Times New Roman"/>
          <w:sz w:val="22"/>
          <w:shd w:val="clear" w:color="auto" w:fill="FFFFFF"/>
        </w:rPr>
        <w:tab/>
      </w:r>
      <w:r w:rsidR="00073CBC" w:rsidRPr="00727709">
        <w:rPr>
          <w:rFonts w:ascii="Times New Roman" w:hAnsi="Times New Roman" w:cs="Times New Roman"/>
          <w:b/>
          <w:bCs/>
          <w:sz w:val="22"/>
          <w:shd w:val="clear" w:color="auto" w:fill="FFFFFF"/>
        </w:rPr>
        <w:t>Të përmirësojë</w:t>
      </w:r>
      <w:r w:rsidR="00073CBC" w:rsidRPr="00073CBC">
        <w:rPr>
          <w:rFonts w:ascii="Times New Roman" w:hAnsi="Times New Roman" w:cs="Times New Roman"/>
          <w:sz w:val="22"/>
          <w:shd w:val="clear" w:color="auto" w:fill="FFFFFF"/>
        </w:rPr>
        <w:t xml:space="preserve"> </w:t>
      </w:r>
      <w:r w:rsidRPr="0036101C">
        <w:rPr>
          <w:rStyle w:val="apple-converted-space"/>
          <w:rFonts w:ascii="Times New Roman" w:hAnsi="Times New Roman" w:cs="Times New Roman"/>
          <w:b/>
          <w:sz w:val="22"/>
          <w:shd w:val="clear" w:color="auto" w:fill="FFFFFF"/>
        </w:rPr>
        <w:t>OSHC-</w:t>
      </w:r>
      <w:r w:rsidR="00073CBC" w:rsidRPr="00073CBC">
        <w:rPr>
          <w:rFonts w:ascii="Times New Roman" w:hAnsi="Times New Roman" w:cs="Times New Roman"/>
          <w:b/>
          <w:sz w:val="22"/>
          <w:shd w:val="clear" w:color="auto" w:fill="FFFFFF"/>
        </w:rPr>
        <w:t xml:space="preserve"> </w:t>
      </w:r>
      <w:r w:rsidR="00073CBC" w:rsidRPr="0036101C">
        <w:rPr>
          <w:rFonts w:ascii="Times New Roman" w:hAnsi="Times New Roman" w:cs="Times New Roman"/>
          <w:b/>
          <w:sz w:val="22"/>
          <w:shd w:val="clear" w:color="auto" w:fill="FFFFFF"/>
        </w:rPr>
        <w:t>të</w:t>
      </w:r>
      <w:r w:rsidR="00073CBC" w:rsidRPr="0036101C" w:rsidDel="00073CBC">
        <w:rPr>
          <w:rStyle w:val="apple-converted-space"/>
          <w:rFonts w:ascii="Times New Roman" w:hAnsi="Times New Roman" w:cs="Times New Roman"/>
          <w:b/>
          <w:sz w:val="22"/>
          <w:shd w:val="clear" w:color="auto" w:fill="FFFFFF"/>
        </w:rPr>
        <w:t xml:space="preserve"> </w:t>
      </w:r>
      <w:r w:rsidRPr="0036101C">
        <w:rPr>
          <w:rStyle w:val="apple-converted-space"/>
          <w:rFonts w:ascii="Times New Roman" w:hAnsi="Times New Roman" w:cs="Times New Roman"/>
          <w:b/>
          <w:sz w:val="22"/>
          <w:shd w:val="clear" w:color="auto" w:fill="FFFFFF"/>
        </w:rPr>
        <w:t>për të rritur rrjetëzimin sektorial, dialogun dhe bashkëpunimin me institucionet publike (qendrore dhe lokale) dhe</w:t>
      </w:r>
      <w:r w:rsidR="00073CBC">
        <w:rPr>
          <w:rStyle w:val="apple-converted-space"/>
          <w:rFonts w:ascii="Times New Roman" w:hAnsi="Times New Roman" w:cs="Times New Roman"/>
          <w:b/>
          <w:sz w:val="22"/>
          <w:shd w:val="clear" w:color="auto" w:fill="FFFFFF"/>
        </w:rPr>
        <w:t xml:space="preserve"> </w:t>
      </w:r>
      <w:r w:rsidR="00073CBC" w:rsidRPr="00073CBC">
        <w:rPr>
          <w:rStyle w:val="apple-converted-space"/>
          <w:rFonts w:ascii="Times New Roman" w:hAnsi="Times New Roman" w:cs="Times New Roman"/>
          <w:b/>
          <w:sz w:val="22"/>
          <w:shd w:val="clear" w:color="auto" w:fill="FFFFFF"/>
        </w:rPr>
        <w:t>komunitetin e biznesit</w:t>
      </w:r>
      <w:r w:rsidRPr="0036101C">
        <w:rPr>
          <w:rStyle w:val="apple-converted-space"/>
          <w:rFonts w:ascii="Times New Roman" w:hAnsi="Times New Roman" w:cs="Times New Roman"/>
          <w:b/>
          <w:sz w:val="22"/>
          <w:shd w:val="clear" w:color="auto" w:fill="FFFFFF"/>
        </w:rPr>
        <w:t xml:space="preserve"> </w:t>
      </w:r>
    </w:p>
    <w:p w14:paraId="494678B9" w14:textId="0E18903A" w:rsidR="00A80D5A" w:rsidRPr="0036101C" w:rsidRDefault="00073CBC">
      <w:pPr>
        <w:pStyle w:val="P68B1DB1-Normal1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pPr>
      <w:r>
        <w:tab/>
      </w:r>
      <w:r>
        <w:tab/>
      </w:r>
      <w:r w:rsidR="0036101C" w:rsidRPr="0036101C">
        <w:t xml:space="preserve">Shuma për Objektivin 2:  </w:t>
      </w:r>
      <w:r w:rsidR="0036101C" w:rsidRPr="0036101C">
        <w:tab/>
      </w:r>
      <w:r w:rsidR="0036101C" w:rsidRPr="0036101C">
        <w:tab/>
      </w:r>
      <w:r w:rsidR="0036101C" w:rsidRPr="00727709">
        <w:t>1</w:t>
      </w:r>
      <w:r w:rsidR="00380C47" w:rsidRPr="00727709">
        <w:t>8</w:t>
      </w:r>
      <w:r w:rsidR="0036101C" w:rsidRPr="00727709">
        <w:t>0,000 EUR</w:t>
      </w:r>
    </w:p>
    <w:p w14:paraId="2F9224FA" w14:textId="77777777" w:rsidR="00A80D5A" w:rsidRPr="0036101C" w:rsidRDefault="00A80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rPr>
          <w:rFonts w:ascii="Times New Roman" w:hAnsi="Times New Roman" w:cs="Times New Roman"/>
          <w:sz w:val="22"/>
          <w:shd w:val="clear" w:color="auto" w:fill="FFFFFF"/>
        </w:rPr>
      </w:pPr>
    </w:p>
    <w:p w14:paraId="0F0CB428" w14:textId="15B50A1B" w:rsidR="00A80D5A" w:rsidRPr="0036101C" w:rsidRDefault="0036101C">
      <w:pPr>
        <w:suppressAutoHyphens/>
        <w:autoSpaceDE w:val="0"/>
        <w:ind w:left="1440" w:hanging="1440"/>
        <w:jc w:val="both"/>
        <w:rPr>
          <w:rFonts w:ascii="Times New Roman" w:hAnsi="Times New Roman" w:cs="Times New Roman"/>
          <w:sz w:val="22"/>
          <w:shd w:val="clear" w:color="auto" w:fill="FFFFFF"/>
        </w:rPr>
      </w:pPr>
      <w:r w:rsidRPr="0036101C">
        <w:rPr>
          <w:rFonts w:ascii="Times New Roman" w:hAnsi="Times New Roman" w:cs="Times New Roman"/>
          <w:sz w:val="22"/>
          <w:shd w:val="clear" w:color="auto" w:fill="FFFFFF"/>
        </w:rPr>
        <w:t xml:space="preserve">Shorti 3: </w:t>
      </w:r>
      <w:r w:rsidRPr="0036101C">
        <w:rPr>
          <w:rFonts w:ascii="Times New Roman" w:hAnsi="Times New Roman" w:cs="Times New Roman"/>
          <w:sz w:val="22"/>
          <w:shd w:val="clear" w:color="auto" w:fill="FFFFFF"/>
        </w:rPr>
        <w:tab/>
      </w:r>
      <w:r w:rsidRPr="0036101C">
        <w:rPr>
          <w:rStyle w:val="apple-converted-space"/>
          <w:rFonts w:ascii="Times New Roman" w:hAnsi="Times New Roman" w:cs="Times New Roman"/>
          <w:b/>
          <w:sz w:val="22"/>
          <w:shd w:val="clear" w:color="auto" w:fill="FFFFFF"/>
        </w:rPr>
        <w:t>Të mbështesë OSHC-të në promovimin dhe avancimin e demokracisë dhe të drejtave të njeriut përmes veprimeve të bazuara në të drejtat</w:t>
      </w:r>
      <w:r w:rsidRPr="0036101C">
        <w:rPr>
          <w:rFonts w:ascii="Times New Roman" w:hAnsi="Times New Roman" w:cs="Times New Roman"/>
          <w:sz w:val="22"/>
          <w:shd w:val="clear" w:color="auto" w:fill="FFFFFF"/>
        </w:rPr>
        <w:t>.</w:t>
      </w:r>
    </w:p>
    <w:p w14:paraId="3497229B" w14:textId="5F61BAFD" w:rsidR="00A80D5A" w:rsidRPr="0036101C" w:rsidRDefault="00073CBC">
      <w:pPr>
        <w:pStyle w:val="P68B1DB1-Normal1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pPr>
      <w:r>
        <w:tab/>
      </w:r>
      <w:r>
        <w:tab/>
      </w:r>
      <w:r w:rsidR="0036101C" w:rsidRPr="0036101C">
        <w:t xml:space="preserve">Shuma për Objektivin 3:  </w:t>
      </w:r>
      <w:r w:rsidR="0036101C" w:rsidRPr="0036101C">
        <w:tab/>
      </w:r>
      <w:r w:rsidR="0036101C" w:rsidRPr="0036101C">
        <w:tab/>
      </w:r>
      <w:r w:rsidR="0036101C" w:rsidRPr="00727709">
        <w:t>1</w:t>
      </w:r>
      <w:r w:rsidR="00380C47" w:rsidRPr="00727709">
        <w:t>8</w:t>
      </w:r>
      <w:r w:rsidR="0036101C" w:rsidRPr="00727709">
        <w:t>0,000 EUR</w:t>
      </w:r>
    </w:p>
    <w:p w14:paraId="251773D8" w14:textId="77777777" w:rsidR="00A80D5A" w:rsidRPr="0036101C" w:rsidRDefault="00A80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rPr>
          <w:rFonts w:ascii="Times New Roman" w:hAnsi="Times New Roman" w:cs="Times New Roman"/>
          <w:sz w:val="22"/>
          <w:shd w:val="clear" w:color="auto" w:fill="FFFFFF"/>
        </w:rPr>
      </w:pPr>
    </w:p>
    <w:p w14:paraId="0FC3EFA7" w14:textId="00E96493" w:rsidR="00A80D5A" w:rsidRPr="0036101C" w:rsidRDefault="0036101C">
      <w:pPr>
        <w:suppressAutoHyphens/>
        <w:autoSpaceDE w:val="0"/>
        <w:ind w:left="1440" w:hanging="1440"/>
        <w:jc w:val="both"/>
        <w:rPr>
          <w:rFonts w:ascii="Times New Roman" w:hAnsi="Times New Roman" w:cs="Times New Roman"/>
          <w:sz w:val="22"/>
          <w:shd w:val="clear" w:color="auto" w:fill="FFFFFF"/>
        </w:rPr>
      </w:pPr>
      <w:r w:rsidRPr="0036101C">
        <w:rPr>
          <w:rFonts w:ascii="Times New Roman" w:hAnsi="Times New Roman" w:cs="Times New Roman"/>
          <w:sz w:val="22"/>
          <w:shd w:val="clear" w:color="auto" w:fill="FFFFFF"/>
        </w:rPr>
        <w:t xml:space="preserve">Shorti 4: </w:t>
      </w:r>
      <w:r w:rsidRPr="0036101C">
        <w:rPr>
          <w:rFonts w:ascii="Times New Roman" w:hAnsi="Times New Roman" w:cs="Times New Roman"/>
          <w:sz w:val="22"/>
          <w:shd w:val="clear" w:color="auto" w:fill="FFFFFF"/>
        </w:rPr>
        <w:tab/>
      </w:r>
      <w:r w:rsidR="00073CBC" w:rsidRPr="00727709">
        <w:rPr>
          <w:rFonts w:ascii="Times New Roman" w:hAnsi="Times New Roman" w:cs="Times New Roman"/>
          <w:b/>
          <w:bCs/>
          <w:sz w:val="22"/>
          <w:shd w:val="clear" w:color="auto" w:fill="FFFFFF"/>
        </w:rPr>
        <w:t>Të përmirësojë</w:t>
      </w:r>
      <w:r w:rsidR="00073CBC" w:rsidRPr="00073CBC">
        <w:rPr>
          <w:rFonts w:ascii="Times New Roman" w:hAnsi="Times New Roman" w:cs="Times New Roman"/>
          <w:sz w:val="22"/>
          <w:shd w:val="clear" w:color="auto" w:fill="FFFFFF"/>
        </w:rPr>
        <w:t xml:space="preserve"> </w:t>
      </w:r>
      <w:r w:rsidRPr="0036101C">
        <w:rPr>
          <w:rStyle w:val="apple-converted-space"/>
          <w:rFonts w:ascii="Times New Roman" w:hAnsi="Times New Roman" w:cs="Times New Roman"/>
          <w:b/>
          <w:sz w:val="22"/>
          <w:shd w:val="clear" w:color="auto" w:fill="FFFFFF"/>
        </w:rPr>
        <w:t>dukshmëri</w:t>
      </w:r>
      <w:r w:rsidR="00073CBC">
        <w:rPr>
          <w:rStyle w:val="apple-converted-space"/>
          <w:rFonts w:ascii="Times New Roman" w:hAnsi="Times New Roman" w:cs="Times New Roman"/>
          <w:b/>
          <w:sz w:val="22"/>
          <w:shd w:val="clear" w:color="auto" w:fill="FFFFFF"/>
        </w:rPr>
        <w:t>n</w:t>
      </w:r>
      <w:r w:rsidRPr="0036101C">
        <w:rPr>
          <w:rStyle w:val="apple-converted-space"/>
          <w:rFonts w:ascii="Times New Roman" w:hAnsi="Times New Roman" w:cs="Times New Roman"/>
          <w:b/>
          <w:sz w:val="22"/>
          <w:shd w:val="clear" w:color="auto" w:fill="FFFFFF"/>
        </w:rPr>
        <w:t xml:space="preserve">ë </w:t>
      </w:r>
      <w:r w:rsidR="00073CBC">
        <w:rPr>
          <w:rStyle w:val="apple-converted-space"/>
          <w:rFonts w:ascii="Times New Roman" w:hAnsi="Times New Roman" w:cs="Times New Roman"/>
          <w:b/>
          <w:sz w:val="22"/>
          <w:shd w:val="clear" w:color="auto" w:fill="FFFFFF"/>
        </w:rPr>
        <w:t>e</w:t>
      </w:r>
      <w:r w:rsidR="00073CBC" w:rsidRPr="0036101C">
        <w:rPr>
          <w:rStyle w:val="apple-converted-space"/>
          <w:rFonts w:ascii="Times New Roman" w:hAnsi="Times New Roman" w:cs="Times New Roman"/>
          <w:b/>
          <w:sz w:val="22"/>
          <w:shd w:val="clear" w:color="auto" w:fill="FFFFFF"/>
        </w:rPr>
        <w:t xml:space="preserve"> </w:t>
      </w:r>
      <w:r w:rsidRPr="0036101C">
        <w:rPr>
          <w:rStyle w:val="apple-converted-space"/>
          <w:rFonts w:ascii="Times New Roman" w:hAnsi="Times New Roman" w:cs="Times New Roman"/>
          <w:b/>
          <w:sz w:val="22"/>
          <w:shd w:val="clear" w:color="auto" w:fill="FFFFFF"/>
        </w:rPr>
        <w:t>punës së OSHC-ve dhe forcimi</w:t>
      </w:r>
      <w:r w:rsidR="00073CBC">
        <w:rPr>
          <w:rStyle w:val="apple-converted-space"/>
          <w:rFonts w:ascii="Times New Roman" w:hAnsi="Times New Roman" w:cs="Times New Roman"/>
          <w:b/>
          <w:sz w:val="22"/>
          <w:shd w:val="clear" w:color="auto" w:fill="FFFFFF"/>
        </w:rPr>
        <w:t>n</w:t>
      </w:r>
      <w:r w:rsidRPr="0036101C">
        <w:rPr>
          <w:rStyle w:val="apple-converted-space"/>
          <w:rFonts w:ascii="Times New Roman" w:hAnsi="Times New Roman" w:cs="Times New Roman"/>
          <w:b/>
          <w:sz w:val="22"/>
          <w:shd w:val="clear" w:color="auto" w:fill="FFFFFF"/>
        </w:rPr>
        <w:t xml:space="preserve"> </w:t>
      </w:r>
      <w:r w:rsidR="00073CBC">
        <w:rPr>
          <w:rStyle w:val="apple-converted-space"/>
          <w:rFonts w:ascii="Times New Roman" w:hAnsi="Times New Roman" w:cs="Times New Roman"/>
          <w:b/>
          <w:sz w:val="22"/>
          <w:shd w:val="clear" w:color="auto" w:fill="FFFFFF"/>
        </w:rPr>
        <w:t>e</w:t>
      </w:r>
      <w:r w:rsidR="00073CBC" w:rsidRPr="0036101C">
        <w:rPr>
          <w:rStyle w:val="apple-converted-space"/>
          <w:rFonts w:ascii="Times New Roman" w:hAnsi="Times New Roman" w:cs="Times New Roman"/>
          <w:b/>
          <w:sz w:val="22"/>
          <w:shd w:val="clear" w:color="auto" w:fill="FFFFFF"/>
        </w:rPr>
        <w:t xml:space="preserve"> </w:t>
      </w:r>
      <w:r w:rsidRPr="0036101C">
        <w:rPr>
          <w:rStyle w:val="apple-converted-space"/>
          <w:rFonts w:ascii="Times New Roman" w:hAnsi="Times New Roman" w:cs="Times New Roman"/>
          <w:b/>
          <w:sz w:val="22"/>
          <w:shd w:val="clear" w:color="auto" w:fill="FFFFFF"/>
        </w:rPr>
        <w:t xml:space="preserve">komunikimit me </w:t>
      </w:r>
      <w:r w:rsidR="00073CBC" w:rsidRPr="00073CBC">
        <w:rPr>
          <w:rStyle w:val="apple-converted-space"/>
          <w:rFonts w:ascii="Times New Roman" w:hAnsi="Times New Roman" w:cs="Times New Roman"/>
          <w:b/>
          <w:sz w:val="22"/>
          <w:shd w:val="clear" w:color="auto" w:fill="FFFFFF"/>
        </w:rPr>
        <w:t>anëtarësi të tyre</w:t>
      </w:r>
      <w:r w:rsidR="00073CBC" w:rsidRPr="00073CBC" w:rsidDel="00073CBC">
        <w:rPr>
          <w:rStyle w:val="apple-converted-space"/>
          <w:rFonts w:ascii="Times New Roman" w:hAnsi="Times New Roman" w:cs="Times New Roman"/>
          <w:b/>
          <w:sz w:val="22"/>
          <w:shd w:val="clear" w:color="auto" w:fill="FFFFFF"/>
        </w:rPr>
        <w:t xml:space="preserve"> </w:t>
      </w:r>
      <w:r w:rsidRPr="0036101C">
        <w:rPr>
          <w:rStyle w:val="apple-converted-space"/>
          <w:rFonts w:ascii="Times New Roman" w:hAnsi="Times New Roman" w:cs="Times New Roman"/>
          <w:b/>
          <w:sz w:val="22"/>
          <w:shd w:val="clear" w:color="auto" w:fill="FFFFFF"/>
        </w:rPr>
        <w:t>dhe palët e interesuara sektoriale.</w:t>
      </w:r>
    </w:p>
    <w:p w14:paraId="69A9E1C0" w14:textId="14C40E33" w:rsidR="00A80D5A" w:rsidRPr="0036101C" w:rsidRDefault="00073CBC">
      <w:pPr>
        <w:pStyle w:val="P68B1DB1-Normal1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pPr>
      <w:r>
        <w:tab/>
      </w:r>
      <w:r>
        <w:tab/>
      </w:r>
      <w:r w:rsidR="0036101C" w:rsidRPr="0036101C">
        <w:t xml:space="preserve">Shuma për Objektivin 4  </w:t>
      </w:r>
      <w:r w:rsidR="0036101C" w:rsidRPr="0036101C">
        <w:tab/>
      </w:r>
      <w:r w:rsidR="0036101C" w:rsidRPr="0036101C">
        <w:tab/>
      </w:r>
      <w:r w:rsidR="0036101C" w:rsidRPr="00727709">
        <w:t>1</w:t>
      </w:r>
      <w:r w:rsidR="00380C47" w:rsidRPr="00727709">
        <w:t>8</w:t>
      </w:r>
      <w:r w:rsidR="0036101C" w:rsidRPr="00727709">
        <w:t>0,000 EUR</w:t>
      </w:r>
    </w:p>
    <w:p w14:paraId="03E1133E" w14:textId="7FC34963" w:rsidR="00A80D5A" w:rsidRPr="0036101C" w:rsidRDefault="00A80D5A">
      <w:pPr>
        <w:rPr>
          <w:rFonts w:ascii="Times New Roman" w:hAnsi="Times New Roman" w:cs="Times New Roman"/>
          <w:sz w:val="22"/>
          <w:shd w:val="clear" w:color="auto" w:fill="FFFFFF"/>
        </w:rPr>
      </w:pPr>
    </w:p>
    <w:p w14:paraId="7166C429" w14:textId="45D93C04" w:rsidR="00A80D5A" w:rsidRPr="0036101C" w:rsidRDefault="0036101C">
      <w:pPr>
        <w:suppressAutoHyphens/>
        <w:autoSpaceDE w:val="0"/>
        <w:ind w:left="1440" w:hanging="1440"/>
        <w:jc w:val="both"/>
        <w:rPr>
          <w:rFonts w:ascii="Times New Roman" w:hAnsi="Times New Roman" w:cs="Times New Roman"/>
          <w:sz w:val="22"/>
          <w:shd w:val="clear" w:color="auto" w:fill="FFFFFF"/>
        </w:rPr>
      </w:pPr>
      <w:r w:rsidRPr="0036101C">
        <w:rPr>
          <w:rFonts w:ascii="Times New Roman" w:hAnsi="Times New Roman" w:cs="Times New Roman"/>
          <w:sz w:val="22"/>
          <w:shd w:val="clear" w:color="auto" w:fill="FFFFFF"/>
        </w:rPr>
        <w:t xml:space="preserve">Shorti 5: </w:t>
      </w:r>
      <w:r w:rsidRPr="0036101C">
        <w:rPr>
          <w:rFonts w:ascii="Times New Roman" w:hAnsi="Times New Roman" w:cs="Times New Roman"/>
          <w:sz w:val="22"/>
          <w:shd w:val="clear" w:color="auto" w:fill="FFFFFF"/>
        </w:rPr>
        <w:tab/>
      </w:r>
      <w:r w:rsidRPr="0036101C">
        <w:rPr>
          <w:rStyle w:val="apple-converted-space"/>
          <w:rFonts w:ascii="Times New Roman" w:hAnsi="Times New Roman" w:cs="Times New Roman"/>
          <w:b/>
          <w:sz w:val="22"/>
          <w:shd w:val="clear" w:color="auto" w:fill="FFFFFF"/>
        </w:rPr>
        <w:t>Të inkurajojë rrjetëzimin dhe shkëmbimin e praktikave të mira midis OSHC-ve në vend dhe me OSHC-të me bazë IPA/BE.</w:t>
      </w:r>
    </w:p>
    <w:p w14:paraId="6CC46761" w14:textId="406189F6" w:rsidR="00A80D5A" w:rsidRPr="0036101C" w:rsidRDefault="00073CBC">
      <w:pPr>
        <w:pStyle w:val="P68B1DB1-Normal1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pPr>
      <w:r>
        <w:tab/>
      </w:r>
      <w:r>
        <w:tab/>
      </w:r>
      <w:r w:rsidR="0036101C" w:rsidRPr="0036101C">
        <w:t xml:space="preserve">Shuma për Objektivin 5  </w:t>
      </w:r>
      <w:r w:rsidR="0036101C" w:rsidRPr="0036101C">
        <w:tab/>
      </w:r>
      <w:r w:rsidR="0036101C" w:rsidRPr="0036101C">
        <w:tab/>
      </w:r>
      <w:r w:rsidR="0036101C" w:rsidRPr="00727709">
        <w:t>1</w:t>
      </w:r>
      <w:r w:rsidR="00380C47" w:rsidRPr="00727709">
        <w:t>8</w:t>
      </w:r>
      <w:r w:rsidR="0036101C" w:rsidRPr="00727709">
        <w:t>0,000 EUR</w:t>
      </w:r>
    </w:p>
    <w:p w14:paraId="01E36343" w14:textId="77777777" w:rsidR="00A80D5A" w:rsidRPr="0036101C" w:rsidRDefault="00A80D5A">
      <w:pPr>
        <w:rPr>
          <w:rFonts w:ascii="Times New Roman" w:hAnsi="Times New Roman" w:cs="Times New Roman"/>
          <w:sz w:val="22"/>
          <w:shd w:val="clear" w:color="auto" w:fill="FFFFFF"/>
        </w:rPr>
      </w:pPr>
    </w:p>
    <w:p w14:paraId="2C6552FC" w14:textId="6A85417F" w:rsidR="00A80D5A" w:rsidRPr="0036101C" w:rsidRDefault="00A80D5A">
      <w:pPr>
        <w:suppressAutoHyphens/>
        <w:autoSpaceDE w:val="0"/>
        <w:rPr>
          <w:rFonts w:ascii="Times New Roman" w:hAnsi="Times New Roman" w:cs="Times New Roman"/>
          <w:sz w:val="22"/>
          <w:shd w:val="clear" w:color="auto" w:fill="FFFFFF"/>
        </w:rPr>
      </w:pPr>
    </w:p>
    <w:p w14:paraId="692D1651" w14:textId="6E2FA82E" w:rsidR="00A80D5A" w:rsidRPr="0036101C" w:rsidRDefault="0036101C">
      <w:pPr>
        <w:pStyle w:val="P68B1DB1-Normal10"/>
        <w:suppressAutoHyphens/>
        <w:autoSpaceDE w:val="0"/>
        <w:jc w:val="both"/>
      </w:pPr>
      <w:r w:rsidRPr="0036101C">
        <w:t xml:space="preserve">Nëse shpërndarja e treguar për shortin specifik nuk mund të përdoret për shkak të cilësisë së pamjaftueshme ose numrit të propozimeve të pranuara, Autoriteti Kontraktues rezervon të drejtën për të rialokuar fondet e mbetura në shorte të tjera. </w:t>
      </w:r>
    </w:p>
    <w:p w14:paraId="01BE0010" w14:textId="77777777" w:rsidR="00A80D5A" w:rsidRPr="0036101C" w:rsidRDefault="00A80D5A">
      <w:pPr>
        <w:suppressAutoHyphens/>
        <w:autoSpaceDE w:val="0"/>
        <w:rPr>
          <w:rFonts w:ascii="Times New Roman" w:hAnsi="Times New Roman" w:cs="Times New Roman"/>
          <w:sz w:val="22"/>
          <w:shd w:val="clear" w:color="auto" w:fill="FFFFFF"/>
        </w:rPr>
      </w:pPr>
    </w:p>
    <w:p w14:paraId="74B12FA0" w14:textId="77777777" w:rsidR="00A80D5A" w:rsidRPr="0036101C" w:rsidRDefault="00A80D5A">
      <w:pPr>
        <w:rPr>
          <w:rFonts w:ascii="Times New Roman" w:hAnsi="Times New Roman" w:cs="Times New Roman"/>
          <w:sz w:val="22"/>
          <w:shd w:val="clear" w:color="auto" w:fill="FFFFFF"/>
        </w:rPr>
      </w:pPr>
    </w:p>
    <w:p w14:paraId="4C7D04B6" w14:textId="78F66E49" w:rsidR="00A80D5A" w:rsidRPr="0036101C" w:rsidRDefault="0036101C">
      <w:pPr>
        <w:pStyle w:val="P68B1DB1-Normal12"/>
      </w:pPr>
      <w:r w:rsidRPr="0036101C">
        <w:t>Madhësia e mbështetjes në nat</w:t>
      </w:r>
      <w:r w:rsidR="002062EE">
        <w:t>y</w:t>
      </w:r>
      <w:r w:rsidRPr="0036101C">
        <w:t>rë</w:t>
      </w:r>
    </w:p>
    <w:p w14:paraId="732A900F" w14:textId="20F1DEEE" w:rsidR="00A80D5A" w:rsidRPr="0036101C" w:rsidRDefault="0036101C">
      <w:pPr>
        <w:pStyle w:val="P68B1DB1-Normal13"/>
        <w:rPr>
          <w:rFonts w:ascii="Times New Roman" w:hAnsi="Times New Roman" w:cs="Times New Roman"/>
          <w:shd w:val="clear" w:color="auto" w:fill="FFFFFF"/>
        </w:rPr>
      </w:pPr>
      <w:r w:rsidRPr="0036101C">
        <w:rPr>
          <w:rFonts w:ascii="Times New Roman" w:hAnsi="Times New Roman" w:cs="Times New Roman"/>
          <w:shd w:val="clear" w:color="auto" w:fill="FFFFFF"/>
        </w:rPr>
        <w:t>Çdo mbështetje e kërkuar në këtë thirrje për mbështetje në nat</w:t>
      </w:r>
      <w:r w:rsidR="002062EE">
        <w:rPr>
          <w:rFonts w:ascii="Times New Roman" w:hAnsi="Times New Roman" w:cs="Times New Roman"/>
          <w:shd w:val="clear" w:color="auto" w:fill="FFFFFF"/>
        </w:rPr>
        <w:t>y</w:t>
      </w:r>
      <w:r w:rsidRPr="0036101C">
        <w:rPr>
          <w:rFonts w:ascii="Times New Roman" w:hAnsi="Times New Roman" w:cs="Times New Roman"/>
          <w:shd w:val="clear" w:color="auto" w:fill="FFFFFF"/>
        </w:rPr>
        <w:t>rë mund të jetë e barabartë ose më e ulët se</w:t>
      </w:r>
      <w:r w:rsidRPr="0036101C">
        <w:rPr>
          <w:rFonts w:ascii="Times New Roman" w:eastAsia="Times New Roman" w:hAnsi="Times New Roman" w:cs="Times New Roman"/>
        </w:rPr>
        <w:t xml:space="preserve"> </w:t>
      </w:r>
      <w:r w:rsidRPr="0036101C">
        <w:rPr>
          <w:rFonts w:ascii="Times New Roman" w:hAnsi="Times New Roman" w:cs="Times New Roman"/>
          <w:shd w:val="clear" w:color="auto" w:fill="FFFFFF"/>
        </w:rPr>
        <w:t xml:space="preserve">20,000 EUR. </w:t>
      </w:r>
    </w:p>
    <w:p w14:paraId="45CCB5E3" w14:textId="77777777" w:rsidR="00A80D5A" w:rsidRPr="0036101C" w:rsidRDefault="00A80D5A">
      <w:pPr>
        <w:jc w:val="both"/>
        <w:rPr>
          <w:rStyle w:val="apple-converted-space"/>
          <w:rFonts w:ascii="Times New Roman" w:hAnsi="Times New Roman" w:cs="Times New Roman"/>
          <w:sz w:val="22"/>
          <w:shd w:val="clear" w:color="auto" w:fill="FFFFFF"/>
        </w:rPr>
      </w:pPr>
    </w:p>
    <w:p w14:paraId="42E57667" w14:textId="0BB8A633" w:rsidR="00A80D5A" w:rsidRPr="0036101C" w:rsidRDefault="0036101C">
      <w:pPr>
        <w:jc w:val="both"/>
        <w:rPr>
          <w:rStyle w:val="apple-converted-space"/>
          <w:rFonts w:ascii="Times New Roman" w:hAnsi="Times New Roman" w:cs="Times New Roman"/>
          <w:sz w:val="22"/>
          <w:shd w:val="clear" w:color="auto" w:fill="FFFFFF"/>
        </w:rPr>
      </w:pPr>
      <w:r w:rsidRPr="0036101C">
        <w:rPr>
          <w:rStyle w:val="apple-converted-space"/>
          <w:rFonts w:ascii="Times New Roman" w:hAnsi="Times New Roman" w:cs="Times New Roman"/>
          <w:sz w:val="22"/>
          <w:shd w:val="clear" w:color="auto" w:fill="FFFFFF"/>
        </w:rPr>
        <w:t xml:space="preserve">Të gjitha kostot e pranueshme për aktivitetet në kuadër të aplikacioneve të zgjedhura do të mbulohen 100%. </w:t>
      </w:r>
    </w:p>
    <w:p w14:paraId="77FC1712" w14:textId="77777777" w:rsidR="00A80D5A" w:rsidRPr="0036101C" w:rsidRDefault="00A80D5A">
      <w:pPr>
        <w:jc w:val="both"/>
        <w:rPr>
          <w:rStyle w:val="apple-converted-space"/>
          <w:rFonts w:ascii="Times New Roman" w:hAnsi="Times New Roman" w:cs="Times New Roman"/>
          <w:color w:val="1F4E79" w:themeColor="accent5" w:themeShade="80"/>
          <w:sz w:val="22"/>
          <w:shd w:val="clear" w:color="auto" w:fill="FFFFFF"/>
        </w:rPr>
      </w:pPr>
    </w:p>
    <w:tbl>
      <w:tblPr>
        <w:tblW w:w="92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2"/>
      </w:tblGrid>
      <w:tr w:rsidR="00A80D5A" w:rsidRPr="0036101C" w14:paraId="3C9FC176" w14:textId="77777777">
        <w:trPr>
          <w:trHeight w:val="920"/>
        </w:trPr>
        <w:tc>
          <w:tcPr>
            <w:tcW w:w="9272" w:type="dxa"/>
          </w:tcPr>
          <w:p w14:paraId="1D0DFC96" w14:textId="64E81A2A" w:rsidR="00A80D5A" w:rsidRPr="0036101C" w:rsidRDefault="0036101C">
            <w:pPr>
              <w:pStyle w:val="P68B1DB1-Normal14"/>
              <w:ind w:left="88"/>
              <w:jc w:val="both"/>
              <w:rPr>
                <w:rFonts w:ascii="Times New Roman" w:hAnsi="Times New Roman" w:cs="Times New Roman"/>
                <w:b/>
                <w:shd w:val="clear" w:color="auto" w:fill="FFFFFF"/>
              </w:rPr>
            </w:pPr>
            <w:r w:rsidRPr="0036101C">
              <w:rPr>
                <w:rFonts w:ascii="Times New Roman" w:hAnsi="Times New Roman" w:cs="Times New Roman"/>
                <w:b/>
                <w:shd w:val="clear" w:color="auto" w:fill="FFFFFF"/>
              </w:rPr>
              <w:t xml:space="preserve">Shënim: </w:t>
            </w:r>
            <w:r w:rsidRPr="0036101C">
              <w:rPr>
                <w:rFonts w:ascii="Times New Roman" w:hAnsi="Times New Roman" w:cs="Times New Roman"/>
                <w:shd w:val="clear" w:color="auto" w:fill="FFFFFF"/>
              </w:rPr>
              <w:t>Mekanizmi i Qëndrueshmërisë Civile të BE-së nuk është skemë grantesh,</w:t>
            </w:r>
            <w:r w:rsidRPr="0036101C">
              <w:rPr>
                <w:rFonts w:ascii="Times New Roman" w:hAnsi="Times New Roman" w:cs="Times New Roman"/>
                <w:b/>
                <w:shd w:val="clear" w:color="auto" w:fill="FFFFFF"/>
              </w:rPr>
              <w:t xml:space="preserve"> </w:t>
            </w:r>
            <w:r w:rsidRPr="0036101C">
              <w:rPr>
                <w:rFonts w:ascii="Times New Roman" w:eastAsia="Cambria" w:hAnsi="Times New Roman" w:cs="Times New Roman"/>
              </w:rPr>
              <w:t>por një program mbështetës në nat</w:t>
            </w:r>
            <w:r w:rsidR="002062EE">
              <w:rPr>
                <w:rFonts w:ascii="Times New Roman" w:eastAsia="Cambria" w:hAnsi="Times New Roman" w:cs="Times New Roman"/>
              </w:rPr>
              <w:t>y</w:t>
            </w:r>
            <w:r w:rsidRPr="0036101C">
              <w:rPr>
                <w:rFonts w:ascii="Times New Roman" w:eastAsia="Cambria" w:hAnsi="Times New Roman" w:cs="Times New Roman"/>
              </w:rPr>
              <w:t>rë. Kështu, pagesat do të kryhen nga autoriteti kontraktues drejtpërdrejt tek furnizuesit dhe ofruesit e shërbimeve. Përveç kompensimeve të ekipit të veprimit dhe kostove të komunikimit, autoriteti kontraktues nuk do të bëjë transfer</w:t>
            </w:r>
            <w:r w:rsidR="002062EE">
              <w:rPr>
                <w:rFonts w:ascii="Times New Roman" w:eastAsia="Cambria" w:hAnsi="Times New Roman" w:cs="Times New Roman"/>
              </w:rPr>
              <w:t>e</w:t>
            </w:r>
            <w:r w:rsidRPr="0036101C">
              <w:rPr>
                <w:rFonts w:ascii="Times New Roman" w:eastAsia="Cambria" w:hAnsi="Times New Roman" w:cs="Times New Roman"/>
              </w:rPr>
              <w:t xml:space="preserve"> të tjera të parave drejtpërdrejt tek organizatat e shoqërisë civile të përzgjedhura për mbështetje. </w:t>
            </w:r>
          </w:p>
        </w:tc>
      </w:tr>
    </w:tbl>
    <w:p w14:paraId="57CDA3D5" w14:textId="77777777" w:rsidR="00A80D5A" w:rsidRPr="0036101C" w:rsidRDefault="00A80D5A">
      <w:pPr>
        <w:jc w:val="both"/>
        <w:rPr>
          <w:rStyle w:val="apple-converted-space"/>
          <w:rFonts w:ascii="Arial" w:hAnsi="Arial" w:cs="Arial"/>
          <w:sz w:val="22"/>
          <w:shd w:val="clear" w:color="auto" w:fill="FFFFFF"/>
        </w:rPr>
      </w:pPr>
    </w:p>
    <w:p w14:paraId="704F6251" w14:textId="418CC77B" w:rsidR="00A80D5A" w:rsidRPr="0036101C" w:rsidRDefault="0036101C">
      <w:pPr>
        <w:pStyle w:val="Guidelines2"/>
      </w:pPr>
      <w:r w:rsidRPr="0036101C">
        <w:t>2. Kriteret e përshtatshmërisë</w:t>
      </w:r>
    </w:p>
    <w:p w14:paraId="11D6CCE6" w14:textId="77340392" w:rsidR="00A80D5A" w:rsidRPr="0036101C" w:rsidRDefault="0036101C">
      <w:pPr>
        <w:jc w:val="both"/>
        <w:rPr>
          <w:rStyle w:val="apple-converted-space"/>
          <w:rFonts w:ascii="Times New Roman" w:hAnsi="Times New Roman" w:cs="Times New Roman"/>
          <w:sz w:val="22"/>
          <w:shd w:val="clear" w:color="auto" w:fill="FFFFFF"/>
        </w:rPr>
      </w:pPr>
      <w:r w:rsidRPr="0036101C">
        <w:rPr>
          <w:rStyle w:val="apple-converted-space"/>
          <w:rFonts w:ascii="Times New Roman" w:hAnsi="Times New Roman" w:cs="Times New Roman"/>
          <w:sz w:val="22"/>
          <w:shd w:val="clear" w:color="auto" w:fill="FFFFFF"/>
        </w:rPr>
        <w:t>Ekzistojnë tre grupe kriteresh të përshtatshmërisë, që lidhen me:</w:t>
      </w:r>
    </w:p>
    <w:p w14:paraId="787F5723" w14:textId="77777777" w:rsidR="00A80D5A" w:rsidRPr="0036101C" w:rsidRDefault="0036101C">
      <w:pPr>
        <w:pStyle w:val="ListParagraph"/>
        <w:numPr>
          <w:ilvl w:val="0"/>
          <w:numId w:val="17"/>
        </w:numPr>
        <w:jc w:val="both"/>
        <w:rPr>
          <w:rStyle w:val="apple-converted-space"/>
          <w:rFonts w:ascii="Times New Roman" w:hAnsi="Times New Roman" w:cs="Times New Roman"/>
          <w:sz w:val="22"/>
          <w:shd w:val="clear" w:color="auto" w:fill="FFFFFF"/>
        </w:rPr>
      </w:pPr>
      <w:r w:rsidRPr="0036101C">
        <w:rPr>
          <w:rStyle w:val="apple-converted-space"/>
          <w:rFonts w:ascii="Times New Roman" w:hAnsi="Times New Roman" w:cs="Times New Roman"/>
          <w:sz w:val="22"/>
          <w:shd w:val="clear" w:color="auto" w:fill="FFFFFF"/>
        </w:rPr>
        <w:t xml:space="preserve">aplikuesit </w:t>
      </w:r>
    </w:p>
    <w:p w14:paraId="483ED3C6" w14:textId="77777777" w:rsidR="00A80D5A" w:rsidRPr="0036101C" w:rsidRDefault="0036101C">
      <w:pPr>
        <w:pStyle w:val="ListParagraph"/>
        <w:numPr>
          <w:ilvl w:val="0"/>
          <w:numId w:val="17"/>
        </w:numPr>
        <w:jc w:val="both"/>
        <w:rPr>
          <w:rStyle w:val="apple-converted-space"/>
          <w:rFonts w:ascii="Times New Roman" w:hAnsi="Times New Roman" w:cs="Times New Roman"/>
          <w:sz w:val="22"/>
          <w:shd w:val="clear" w:color="auto" w:fill="FFFFFF"/>
        </w:rPr>
      </w:pPr>
      <w:r w:rsidRPr="0036101C">
        <w:rPr>
          <w:rStyle w:val="apple-converted-space"/>
          <w:rFonts w:ascii="Times New Roman" w:hAnsi="Times New Roman" w:cs="Times New Roman"/>
          <w:sz w:val="22"/>
          <w:shd w:val="clear" w:color="auto" w:fill="FFFFFF"/>
        </w:rPr>
        <w:t>veprimet</w:t>
      </w:r>
    </w:p>
    <w:p w14:paraId="2D4F28B9" w14:textId="6EADABE4" w:rsidR="00A80D5A" w:rsidRPr="0036101C" w:rsidRDefault="0036101C">
      <w:pPr>
        <w:pStyle w:val="ListParagraph"/>
        <w:numPr>
          <w:ilvl w:val="0"/>
          <w:numId w:val="17"/>
        </w:numPr>
        <w:jc w:val="both"/>
        <w:rPr>
          <w:rStyle w:val="apple-converted-space"/>
          <w:rFonts w:ascii="Times New Roman" w:hAnsi="Times New Roman" w:cs="Times New Roman"/>
          <w:sz w:val="22"/>
          <w:shd w:val="clear" w:color="auto" w:fill="FFFFFF"/>
        </w:rPr>
      </w:pPr>
      <w:r w:rsidRPr="0036101C">
        <w:rPr>
          <w:rStyle w:val="apple-converted-space"/>
          <w:rFonts w:ascii="Times New Roman" w:hAnsi="Times New Roman" w:cs="Times New Roman"/>
          <w:sz w:val="22"/>
          <w:shd w:val="clear" w:color="auto" w:fill="FFFFFF"/>
        </w:rPr>
        <w:t>kostot</w:t>
      </w:r>
    </w:p>
    <w:p w14:paraId="17A82CF6" w14:textId="4A83CA01" w:rsidR="00A80D5A" w:rsidRPr="0036101C" w:rsidRDefault="00A80D5A">
      <w:pPr>
        <w:jc w:val="both"/>
        <w:rPr>
          <w:rStyle w:val="apple-converted-space"/>
          <w:rFonts w:ascii="Arial" w:hAnsi="Arial" w:cs="Arial"/>
          <w:sz w:val="22"/>
          <w:shd w:val="clear" w:color="auto" w:fill="FFFFFF"/>
        </w:rPr>
      </w:pPr>
    </w:p>
    <w:p w14:paraId="3CE96234" w14:textId="77777777" w:rsidR="00A80D5A" w:rsidRPr="0036101C" w:rsidRDefault="00A80D5A">
      <w:pPr>
        <w:jc w:val="both"/>
        <w:rPr>
          <w:rStyle w:val="apple-converted-space"/>
          <w:rFonts w:ascii="Arial" w:hAnsi="Arial" w:cs="Arial"/>
          <w:sz w:val="22"/>
          <w:shd w:val="clear" w:color="auto" w:fill="FFFFFF"/>
        </w:rPr>
      </w:pPr>
    </w:p>
    <w:p w14:paraId="5A2CCE74" w14:textId="0FB3E056" w:rsidR="00A80D5A" w:rsidRPr="0036101C" w:rsidRDefault="0036101C">
      <w:pPr>
        <w:pStyle w:val="P68B1DB1-Normal15"/>
        <w:ind w:left="710"/>
        <w:jc w:val="both"/>
      </w:pPr>
      <w:r w:rsidRPr="0036101C">
        <w:t>2.1 Përshtatshmëria e aplikuesve</w:t>
      </w:r>
    </w:p>
    <w:p w14:paraId="03F91881" w14:textId="77777777" w:rsidR="00A80D5A" w:rsidRPr="0036101C" w:rsidRDefault="00A80D5A">
      <w:pPr>
        <w:jc w:val="both"/>
        <w:rPr>
          <w:rFonts w:ascii="Times New Roman" w:hAnsi="Times New Roman" w:cs="Times New Roman"/>
          <w:color w:val="1F4E79" w:themeColor="accent5" w:themeShade="80"/>
          <w:sz w:val="22"/>
          <w:shd w:val="clear" w:color="auto" w:fill="FFFFFF"/>
        </w:rPr>
      </w:pPr>
    </w:p>
    <w:p w14:paraId="062DB09C" w14:textId="3740AC4D" w:rsidR="00A80D5A" w:rsidRPr="0036101C" w:rsidRDefault="0036101C">
      <w:pPr>
        <w:pStyle w:val="P68B1DB1-Normal10"/>
        <w:jc w:val="both"/>
      </w:pPr>
      <w:r w:rsidRPr="0036101C">
        <w:t>Për të qenë i pranueshëm për mbështetjen në nat</w:t>
      </w:r>
      <w:r w:rsidR="002062EE">
        <w:t>y</w:t>
      </w:r>
      <w:r w:rsidRPr="0036101C">
        <w:t>rë, aplikanti duhet:</w:t>
      </w:r>
    </w:p>
    <w:p w14:paraId="34E6EF25" w14:textId="77777777" w:rsidR="00A80D5A" w:rsidRPr="0036101C" w:rsidRDefault="0036101C">
      <w:pPr>
        <w:pStyle w:val="P68B1DB1-NormalWeb16"/>
        <w:numPr>
          <w:ilvl w:val="0"/>
          <w:numId w:val="20"/>
        </w:numPr>
        <w:spacing w:beforeAutospacing="0" w:afterAutospacing="0"/>
        <w:jc w:val="both"/>
      </w:pPr>
      <w:r w:rsidRPr="0036101C">
        <w:lastRenderedPageBreak/>
        <w:t xml:space="preserve">të jetë person juridik </w:t>
      </w:r>
      <w:r w:rsidRPr="0036101C">
        <w:rPr>
          <w:b/>
        </w:rPr>
        <w:t>dhe</w:t>
      </w:r>
    </w:p>
    <w:p w14:paraId="1A712AB9" w14:textId="77777777" w:rsidR="00A80D5A" w:rsidRPr="0036101C" w:rsidRDefault="0036101C">
      <w:pPr>
        <w:pStyle w:val="P68B1DB1-NormalWeb16"/>
        <w:numPr>
          <w:ilvl w:val="0"/>
          <w:numId w:val="20"/>
        </w:numPr>
        <w:spacing w:beforeAutospacing="0" w:afterAutospacing="0"/>
        <w:jc w:val="both"/>
      </w:pPr>
      <w:r w:rsidRPr="0036101C">
        <w:t xml:space="preserve">të jetë jofitimprurës </w:t>
      </w:r>
      <w:r w:rsidRPr="0036101C">
        <w:rPr>
          <w:b/>
        </w:rPr>
        <w:t>dhe</w:t>
      </w:r>
    </w:p>
    <w:p w14:paraId="0280AB3D" w14:textId="77777777" w:rsidR="00A80D5A" w:rsidRPr="0036101C" w:rsidRDefault="0036101C">
      <w:pPr>
        <w:pStyle w:val="P68B1DB1-NormalWeb16"/>
        <w:numPr>
          <w:ilvl w:val="0"/>
          <w:numId w:val="20"/>
        </w:numPr>
        <w:spacing w:beforeAutospacing="0" w:afterAutospacing="0"/>
        <w:jc w:val="both"/>
      </w:pPr>
      <w:r w:rsidRPr="0036101C">
        <w:t xml:space="preserve">të jetë organizatë joqeveritare </w:t>
      </w:r>
      <w:r w:rsidRPr="0036101C">
        <w:rPr>
          <w:b/>
        </w:rPr>
        <w:t xml:space="preserve">dhe </w:t>
      </w:r>
    </w:p>
    <w:p w14:paraId="1D360733" w14:textId="55506792" w:rsidR="00A80D5A" w:rsidRPr="0036101C" w:rsidRDefault="0036101C">
      <w:pPr>
        <w:pStyle w:val="NormalWeb"/>
        <w:numPr>
          <w:ilvl w:val="0"/>
          <w:numId w:val="20"/>
        </w:numPr>
        <w:spacing w:beforeAutospacing="0" w:afterAutospacing="0"/>
        <w:jc w:val="both"/>
        <w:rPr>
          <w:sz w:val="22"/>
          <w:shd w:val="clear" w:color="auto" w:fill="FFFFFF"/>
        </w:rPr>
      </w:pPr>
      <w:r w:rsidRPr="0036101C">
        <w:rPr>
          <w:sz w:val="22"/>
          <w:shd w:val="clear" w:color="auto" w:fill="FFFFFF"/>
        </w:rPr>
        <w:t xml:space="preserve">të jetë themeluar në Republikën e Maqedonisë së Veriut në përputhje me </w:t>
      </w:r>
      <w:hyperlink r:id="rId10" w:history="1">
        <w:r w:rsidRPr="0036101C">
          <w:rPr>
            <w:rStyle w:val="Hyperlink"/>
            <w:color w:val="auto"/>
            <w:sz w:val="22"/>
          </w:rPr>
          <w:t>Ligjin për shoqata dhe</w:t>
        </w:r>
      </w:hyperlink>
      <w:r w:rsidRPr="0036101C">
        <w:rPr>
          <w:sz w:val="22"/>
          <w:shd w:val="clear" w:color="auto" w:fill="FFFFFF"/>
        </w:rPr>
        <w:t xml:space="preserve"> fondacione</w:t>
      </w:r>
      <w:r w:rsidRPr="0036101C">
        <w:rPr>
          <w:rStyle w:val="FootnoteReference"/>
          <w:sz w:val="22"/>
          <w:shd w:val="clear" w:color="auto" w:fill="FFFFFF"/>
        </w:rPr>
        <w:footnoteReference w:id="1"/>
      </w:r>
      <w:r w:rsidRPr="0036101C">
        <w:rPr>
          <w:sz w:val="22"/>
          <w:shd w:val="clear" w:color="auto" w:fill="FFFFFF"/>
        </w:rPr>
        <w:t xml:space="preserve"> </w:t>
      </w:r>
      <w:r w:rsidRPr="0036101C">
        <w:rPr>
          <w:b/>
          <w:sz w:val="22"/>
          <w:shd w:val="clear" w:color="auto" w:fill="FFFFFF"/>
        </w:rPr>
        <w:t>dhe</w:t>
      </w:r>
      <w:r w:rsidRPr="0036101C">
        <w:rPr>
          <w:sz w:val="22"/>
          <w:shd w:val="clear" w:color="auto" w:fill="FFFFFF"/>
        </w:rPr>
        <w:t xml:space="preserve"> </w:t>
      </w:r>
    </w:p>
    <w:p w14:paraId="3CBEE04F" w14:textId="77777777" w:rsidR="00A80D5A" w:rsidRPr="0036101C" w:rsidRDefault="0036101C">
      <w:pPr>
        <w:pStyle w:val="P68B1DB1-NormalWeb16"/>
        <w:numPr>
          <w:ilvl w:val="0"/>
          <w:numId w:val="20"/>
        </w:numPr>
        <w:spacing w:beforeAutospacing="0" w:afterAutospacing="0"/>
        <w:jc w:val="both"/>
      </w:pPr>
      <w:r w:rsidRPr="0036101C">
        <w:t xml:space="preserve">të jetë drejtpërdrejt përgjegjës për përgatitjen dhe menaxhimin e veprimit, duke mos vepruar si ndërmjetës </w:t>
      </w:r>
      <w:r w:rsidRPr="0036101C">
        <w:rPr>
          <w:b/>
        </w:rPr>
        <w:t xml:space="preserve">dhe </w:t>
      </w:r>
    </w:p>
    <w:p w14:paraId="01B00AB3" w14:textId="77777777" w:rsidR="00A80D5A" w:rsidRPr="0036101C" w:rsidRDefault="0036101C">
      <w:pPr>
        <w:pStyle w:val="P68B1DB1-NormalWeb16"/>
        <w:numPr>
          <w:ilvl w:val="0"/>
          <w:numId w:val="20"/>
        </w:numPr>
        <w:spacing w:beforeAutospacing="0" w:afterAutospacing="0"/>
        <w:jc w:val="both"/>
      </w:pPr>
      <w:r w:rsidRPr="0036101C">
        <w:t>të jetë me qarkullim vjetor deri në 50,000 EUR në vitin e fundit</w:t>
      </w:r>
      <w:r w:rsidRPr="0036101C">
        <w:rPr>
          <w:i/>
        </w:rPr>
        <w:t>.</w:t>
      </w:r>
    </w:p>
    <w:p w14:paraId="599719E4" w14:textId="397DEF88" w:rsidR="00A80D5A" w:rsidRPr="0036101C" w:rsidRDefault="00A80D5A">
      <w:pPr>
        <w:pStyle w:val="NormalWeb"/>
        <w:spacing w:beforeAutospacing="0" w:afterAutospacing="0"/>
        <w:ind w:left="420"/>
        <w:jc w:val="both"/>
        <w:rPr>
          <w:color w:val="1F4E79" w:themeColor="accent5" w:themeShade="80"/>
          <w:sz w:val="22"/>
          <w:shd w:val="clear" w:color="auto" w:fill="FFFFFF"/>
        </w:rPr>
      </w:pPr>
    </w:p>
    <w:p w14:paraId="14C927C2" w14:textId="77777777" w:rsidR="00A80D5A" w:rsidRPr="0036101C" w:rsidRDefault="00A80D5A">
      <w:pPr>
        <w:pStyle w:val="NormalWeb"/>
        <w:spacing w:beforeAutospacing="0" w:afterAutospacing="0"/>
        <w:jc w:val="both"/>
        <w:rPr>
          <w:color w:val="1F4E79" w:themeColor="accent5" w:themeShade="80"/>
          <w:sz w:val="22"/>
          <w:shd w:val="clear" w:color="auto" w:fill="FFFFFF"/>
        </w:rPr>
      </w:pPr>
    </w:p>
    <w:p w14:paraId="1C6A2EE1" w14:textId="7EC0549E" w:rsidR="00A80D5A" w:rsidRPr="0036101C" w:rsidRDefault="0036101C">
      <w:pPr>
        <w:pStyle w:val="P68B1DB1-Normal15"/>
        <w:ind w:left="710"/>
        <w:jc w:val="both"/>
      </w:pPr>
      <w:r w:rsidRPr="0036101C">
        <w:t xml:space="preserve">2.2. Veprimet e pranueshme: veprimet për të cilat mund të bëhet një kërkesë </w:t>
      </w:r>
    </w:p>
    <w:p w14:paraId="3095367F" w14:textId="77777777" w:rsidR="00A80D5A" w:rsidRPr="0036101C" w:rsidRDefault="00A80D5A">
      <w:pPr>
        <w:pStyle w:val="NormalWeb"/>
        <w:spacing w:beforeAutospacing="0" w:afterAutospacing="0"/>
        <w:jc w:val="both"/>
        <w:rPr>
          <w:rStyle w:val="apple-converted-space"/>
          <w:rFonts w:eastAsiaTheme="minorEastAsia"/>
          <w:color w:val="1F4E79" w:themeColor="accent5" w:themeShade="80"/>
          <w:sz w:val="22"/>
          <w:shd w:val="clear" w:color="auto" w:fill="FFFFFF"/>
        </w:rPr>
      </w:pPr>
    </w:p>
    <w:p w14:paraId="675867EC" w14:textId="546C8E71" w:rsidR="00A80D5A" w:rsidRPr="0036101C" w:rsidRDefault="0036101C">
      <w:pPr>
        <w:pStyle w:val="NormalWeb"/>
        <w:spacing w:beforeAutospacing="0" w:afterAutospacing="0"/>
        <w:jc w:val="both"/>
        <w:rPr>
          <w:rStyle w:val="apple-converted-space"/>
          <w:rFonts w:eastAsiaTheme="minorEastAsia"/>
          <w:i/>
          <w:u w:val="single"/>
          <w:shd w:val="clear" w:color="auto" w:fill="FFFFFF"/>
        </w:rPr>
      </w:pPr>
      <w:r w:rsidRPr="0036101C">
        <w:rPr>
          <w:rStyle w:val="apple-converted-space"/>
          <w:rFonts w:eastAsiaTheme="minorEastAsia"/>
          <w:i/>
          <w:u w:val="single"/>
          <w:shd w:val="clear" w:color="auto" w:fill="FFFFFF"/>
        </w:rPr>
        <w:t xml:space="preserve">Përshkrimi </w:t>
      </w:r>
    </w:p>
    <w:p w14:paraId="4597B501" w14:textId="77777777" w:rsidR="00A80D5A" w:rsidRPr="0036101C" w:rsidRDefault="0036101C">
      <w:pPr>
        <w:pStyle w:val="NormalWeb"/>
        <w:spacing w:beforeAutospacing="0" w:afterAutospacing="0"/>
        <w:jc w:val="both"/>
        <w:rPr>
          <w:rStyle w:val="apple-converted-space"/>
          <w:rFonts w:eastAsiaTheme="minorEastAsia"/>
          <w:sz w:val="22"/>
          <w:shd w:val="clear" w:color="auto" w:fill="FFFFFF"/>
        </w:rPr>
      </w:pPr>
      <w:r w:rsidRPr="0036101C">
        <w:rPr>
          <w:rStyle w:val="apple-converted-space"/>
          <w:rFonts w:eastAsiaTheme="minorEastAsia"/>
          <w:sz w:val="22"/>
          <w:shd w:val="clear" w:color="auto" w:fill="FFFFFF"/>
        </w:rPr>
        <w:t>Një veprim është i përbërë nga një sërë aktivitetesh.</w:t>
      </w:r>
    </w:p>
    <w:p w14:paraId="6807D342" w14:textId="77777777" w:rsidR="00A80D5A" w:rsidRPr="0036101C" w:rsidRDefault="00A80D5A">
      <w:pPr>
        <w:pStyle w:val="NormalWeb"/>
        <w:spacing w:beforeAutospacing="0" w:afterAutospacing="0"/>
        <w:jc w:val="both"/>
        <w:rPr>
          <w:sz w:val="22"/>
        </w:rPr>
      </w:pPr>
    </w:p>
    <w:p w14:paraId="0F407A66" w14:textId="77777777" w:rsidR="00A80D5A" w:rsidRPr="0036101C" w:rsidRDefault="0036101C">
      <w:pPr>
        <w:pStyle w:val="NormalWeb"/>
        <w:spacing w:beforeAutospacing="0" w:afterAutospacing="0"/>
        <w:jc w:val="both"/>
        <w:rPr>
          <w:rStyle w:val="apple-converted-space"/>
          <w:rFonts w:eastAsiaTheme="minorEastAsia"/>
          <w:i/>
          <w:u w:val="single"/>
          <w:shd w:val="clear" w:color="auto" w:fill="FFFFFF"/>
        </w:rPr>
      </w:pPr>
      <w:r w:rsidRPr="0036101C">
        <w:rPr>
          <w:rStyle w:val="apple-converted-space"/>
          <w:rFonts w:eastAsiaTheme="minorEastAsia"/>
          <w:i/>
          <w:u w:val="single"/>
          <w:shd w:val="clear" w:color="auto" w:fill="FFFFFF"/>
        </w:rPr>
        <w:t>Kohëzgjatja</w:t>
      </w:r>
    </w:p>
    <w:p w14:paraId="37A4525A" w14:textId="296C487D" w:rsidR="00A80D5A" w:rsidRPr="0036101C" w:rsidRDefault="0036101C">
      <w:pPr>
        <w:pStyle w:val="P68B1DB1-NormalWeb16"/>
        <w:spacing w:beforeAutospacing="0" w:afterAutospacing="0"/>
        <w:jc w:val="both"/>
      </w:pPr>
      <w:r w:rsidRPr="0036101C">
        <w:t>Kohëzgjatja fillestare e planifikuar e një veprimi nuk mund të jetë më pak se</w:t>
      </w:r>
      <w:r w:rsidRPr="0036101C">
        <w:rPr>
          <w:b/>
        </w:rPr>
        <w:t xml:space="preserve"> </w:t>
      </w:r>
      <w:r w:rsidRPr="0036101C">
        <w:t xml:space="preserve">3 muaj me një periudhë maksimale zbatimi deri </w:t>
      </w:r>
      <w:r w:rsidR="009665CD">
        <w:t>m</w:t>
      </w:r>
      <w:r w:rsidRPr="0036101C">
        <w:t xml:space="preserve">ë </w:t>
      </w:r>
      <w:r w:rsidR="00380C47">
        <w:t>3</w:t>
      </w:r>
      <w:r w:rsidR="00221A60">
        <w:t>1 gusht</w:t>
      </w:r>
      <w:r w:rsidR="00380C47">
        <w:t xml:space="preserve"> 2023.</w:t>
      </w:r>
      <w:r w:rsidR="00380C47" w:rsidRPr="0036101C">
        <w:t xml:space="preserve"> </w:t>
      </w:r>
    </w:p>
    <w:p w14:paraId="35F8227C" w14:textId="77777777" w:rsidR="00A80D5A" w:rsidRPr="0036101C" w:rsidRDefault="00A80D5A">
      <w:pPr>
        <w:pStyle w:val="NormalWeb"/>
        <w:spacing w:beforeAutospacing="0" w:afterAutospacing="0"/>
        <w:jc w:val="both"/>
        <w:rPr>
          <w:sz w:val="22"/>
        </w:rPr>
      </w:pPr>
    </w:p>
    <w:p w14:paraId="0B4FB615" w14:textId="53FE0FE1" w:rsidR="00A80D5A" w:rsidRPr="0036101C" w:rsidRDefault="0036101C">
      <w:pPr>
        <w:pStyle w:val="NormalWeb"/>
        <w:spacing w:beforeAutospacing="0" w:afterAutospacing="0"/>
        <w:jc w:val="both"/>
        <w:rPr>
          <w:rStyle w:val="apple-converted-space"/>
          <w:rFonts w:eastAsiaTheme="minorEastAsia"/>
          <w:i/>
          <w:u w:val="single"/>
          <w:shd w:val="clear" w:color="auto" w:fill="FFFFFF"/>
        </w:rPr>
      </w:pPr>
      <w:r w:rsidRPr="0036101C">
        <w:rPr>
          <w:rStyle w:val="apple-converted-space"/>
          <w:rFonts w:eastAsiaTheme="minorEastAsia"/>
          <w:i/>
          <w:u w:val="single"/>
          <w:shd w:val="clear" w:color="auto" w:fill="FFFFFF"/>
        </w:rPr>
        <w:t>Objektivat e veprimit</w:t>
      </w:r>
      <w:r w:rsidRPr="0036101C">
        <w:rPr>
          <w:rStyle w:val="apple-converted-space"/>
          <w:rFonts w:eastAsiaTheme="minorEastAsia"/>
          <w:i/>
          <w:shd w:val="clear" w:color="auto" w:fill="FFFFFF"/>
        </w:rPr>
        <w:t>/</w:t>
      </w:r>
      <w:r w:rsidR="000308CD" w:rsidRPr="0036101C">
        <w:rPr>
          <w:rStyle w:val="apple-converted-space"/>
          <w:rFonts w:eastAsiaTheme="minorEastAsia"/>
          <w:i/>
          <w:shd w:val="clear" w:color="auto" w:fill="FFFFFF"/>
        </w:rPr>
        <w:t>S</w:t>
      </w:r>
      <w:r w:rsidR="000308CD">
        <w:rPr>
          <w:rStyle w:val="apple-converted-space"/>
          <w:rFonts w:eastAsiaTheme="minorEastAsia"/>
          <w:i/>
          <w:shd w:val="clear" w:color="auto" w:fill="FFFFFF"/>
        </w:rPr>
        <w:t xml:space="preserve">hortet </w:t>
      </w:r>
      <w:r w:rsidRPr="0036101C">
        <w:rPr>
          <w:rStyle w:val="apple-converted-space"/>
          <w:rFonts w:eastAsiaTheme="minorEastAsia"/>
          <w:i/>
          <w:shd w:val="clear" w:color="auto" w:fill="FFFFFF"/>
        </w:rPr>
        <w:t xml:space="preserve">nga Thirrja për mbështetje në </w:t>
      </w:r>
      <w:r w:rsidR="000308CD" w:rsidRPr="0036101C">
        <w:rPr>
          <w:rStyle w:val="apple-converted-space"/>
          <w:rFonts w:eastAsiaTheme="minorEastAsia"/>
          <w:i/>
          <w:shd w:val="clear" w:color="auto" w:fill="FFFFFF"/>
        </w:rPr>
        <w:t>nat</w:t>
      </w:r>
      <w:r w:rsidR="000308CD">
        <w:rPr>
          <w:rStyle w:val="apple-converted-space"/>
          <w:rFonts w:eastAsiaTheme="minorEastAsia"/>
          <w:i/>
          <w:shd w:val="clear" w:color="auto" w:fill="FFFFFF"/>
        </w:rPr>
        <w:t>y</w:t>
      </w:r>
      <w:r w:rsidR="000308CD" w:rsidRPr="0036101C">
        <w:rPr>
          <w:rStyle w:val="apple-converted-space"/>
          <w:rFonts w:eastAsiaTheme="minorEastAsia"/>
          <w:i/>
          <w:shd w:val="clear" w:color="auto" w:fill="FFFFFF"/>
        </w:rPr>
        <w:t>rë</w:t>
      </w:r>
    </w:p>
    <w:p w14:paraId="0C08FE9A" w14:textId="54B40660" w:rsidR="00A80D5A" w:rsidRPr="0036101C" w:rsidRDefault="0036101C">
      <w:pPr>
        <w:pStyle w:val="P68B1DB1-NormalWeb16"/>
        <w:spacing w:beforeAutospacing="0" w:afterAutospacing="0"/>
        <w:jc w:val="both"/>
      </w:pPr>
      <w:r w:rsidRPr="0036101C">
        <w:t>Veprimi i propozuar duhet të adresojë qartë të paktën</w:t>
      </w:r>
      <w:r w:rsidRPr="0036101C">
        <w:rPr>
          <w:b/>
          <w:u w:val="single"/>
        </w:rPr>
        <w:t xml:space="preserve"> një nga</w:t>
      </w:r>
      <w:r w:rsidRPr="0036101C">
        <w:t xml:space="preserve"> pesë objektivat/shortet e renditura më poshtë në mënyrë që një aplikues të konsiderohet i përshtatshëm. Megjithëse veprimi i propozuar mund të trajtojë çështje nga më shumë se një objektiv, </w:t>
      </w:r>
      <w:r w:rsidRPr="0036101C">
        <w:rPr>
          <w:b/>
        </w:rPr>
        <w:t>ai duhet t'i përkasë qartë njërit prej objektivave/shortit të mëposhtëm</w:t>
      </w:r>
      <w:r w:rsidRPr="0036101C">
        <w:t xml:space="preserve">. </w:t>
      </w:r>
    </w:p>
    <w:p w14:paraId="6EDB9C9E" w14:textId="77777777" w:rsidR="00A80D5A" w:rsidRPr="0036101C" w:rsidRDefault="00A80D5A">
      <w:pPr>
        <w:pStyle w:val="NormalWeb"/>
        <w:spacing w:beforeAutospacing="0" w:afterAutospacing="0"/>
        <w:jc w:val="both"/>
        <w:rPr>
          <w:sz w:val="22"/>
          <w:highlight w:val="white"/>
        </w:rPr>
      </w:pPr>
    </w:p>
    <w:p w14:paraId="7E7F0B31" w14:textId="63935673" w:rsidR="00A80D5A" w:rsidRPr="0036101C" w:rsidRDefault="0036101C">
      <w:pPr>
        <w:pStyle w:val="NormalWeb"/>
        <w:spacing w:before="120" w:beforeAutospacing="0" w:afterAutospacing="0"/>
        <w:jc w:val="both"/>
        <w:rPr>
          <w:rStyle w:val="apple-converted-space"/>
          <w:sz w:val="22"/>
          <w:shd w:val="clear" w:color="auto" w:fill="FFFFFF"/>
        </w:rPr>
      </w:pPr>
      <w:r w:rsidRPr="0036101C">
        <w:rPr>
          <w:rStyle w:val="apple-converted-space"/>
          <w:sz w:val="22"/>
          <w:shd w:val="clear" w:color="auto" w:fill="FFFFFF"/>
        </w:rPr>
        <w:t>Objektiv</w:t>
      </w:r>
      <w:r w:rsidR="00271F67">
        <w:rPr>
          <w:rStyle w:val="apple-converted-space"/>
          <w:sz w:val="22"/>
          <w:shd w:val="clear" w:color="auto" w:fill="FFFFFF"/>
        </w:rPr>
        <w:t>i</w:t>
      </w:r>
      <w:r w:rsidRPr="0036101C">
        <w:rPr>
          <w:rStyle w:val="apple-converted-space"/>
          <w:sz w:val="22"/>
          <w:shd w:val="clear" w:color="auto" w:fill="FFFFFF"/>
        </w:rPr>
        <w:t xml:space="preserve"> 1/Shorti 1: Të mundësojë OSHC-të të krijojnë dhe zbatojnë legjislacionin dhe politikat, si dhe të forcojnë rolin e avokuesit dhe vëzhguesit. </w:t>
      </w:r>
    </w:p>
    <w:p w14:paraId="4C777B67" w14:textId="634AF085" w:rsidR="00A80D5A" w:rsidRPr="0036101C" w:rsidRDefault="0036101C">
      <w:pPr>
        <w:pStyle w:val="NormalWeb"/>
        <w:spacing w:before="120" w:beforeAutospacing="0" w:afterAutospacing="0"/>
        <w:jc w:val="both"/>
        <w:rPr>
          <w:rStyle w:val="apple-converted-space"/>
          <w:sz w:val="22"/>
          <w:highlight w:val="white"/>
        </w:rPr>
      </w:pPr>
      <w:r w:rsidRPr="0036101C">
        <w:rPr>
          <w:rStyle w:val="apple-converted-space"/>
          <w:sz w:val="22"/>
          <w:shd w:val="clear" w:color="auto" w:fill="FFFFFF"/>
        </w:rPr>
        <w:t xml:space="preserve">Objektivi 2/Shorti 2: </w:t>
      </w:r>
      <w:r w:rsidR="000308CD">
        <w:rPr>
          <w:rStyle w:val="apple-converted-space"/>
          <w:sz w:val="22"/>
          <w:shd w:val="clear" w:color="auto" w:fill="FFFFFF"/>
        </w:rPr>
        <w:t>T</w:t>
      </w:r>
      <w:r w:rsidR="000308CD" w:rsidRPr="0036101C">
        <w:rPr>
          <w:rStyle w:val="apple-converted-space"/>
          <w:sz w:val="22"/>
          <w:shd w:val="clear" w:color="auto" w:fill="FFFFFF"/>
        </w:rPr>
        <w:t>ë</w:t>
      </w:r>
      <w:r w:rsidR="000308CD">
        <w:rPr>
          <w:rStyle w:val="apple-converted-space"/>
          <w:sz w:val="22"/>
          <w:shd w:val="clear" w:color="auto" w:fill="FFFFFF"/>
        </w:rPr>
        <w:t xml:space="preserve"> p</w:t>
      </w:r>
      <w:r w:rsidR="000308CD" w:rsidRPr="0036101C">
        <w:rPr>
          <w:rStyle w:val="apple-converted-space"/>
          <w:sz w:val="22"/>
          <w:shd w:val="clear" w:color="auto" w:fill="FFFFFF"/>
        </w:rPr>
        <w:t>ërmirës</w:t>
      </w:r>
      <w:r w:rsidR="000308CD">
        <w:rPr>
          <w:rStyle w:val="apple-converted-space"/>
          <w:sz w:val="22"/>
          <w:shd w:val="clear" w:color="auto" w:fill="FFFFFF"/>
        </w:rPr>
        <w:t>oj</w:t>
      </w:r>
      <w:r w:rsidR="000308CD" w:rsidRPr="0036101C">
        <w:rPr>
          <w:rStyle w:val="apple-converted-space"/>
          <w:sz w:val="22"/>
          <w:shd w:val="clear" w:color="auto" w:fill="FFFFFF"/>
        </w:rPr>
        <w:t xml:space="preserve">ë </w:t>
      </w:r>
      <w:r w:rsidRPr="0036101C">
        <w:rPr>
          <w:rStyle w:val="apple-converted-space"/>
          <w:sz w:val="22"/>
          <w:shd w:val="clear" w:color="auto" w:fill="FFFFFF"/>
        </w:rPr>
        <w:t>OSHC-</w:t>
      </w:r>
      <w:r w:rsidR="000308CD" w:rsidRPr="000308CD">
        <w:rPr>
          <w:rStyle w:val="apple-converted-space"/>
          <w:sz w:val="22"/>
          <w:shd w:val="clear" w:color="auto" w:fill="FFFFFF"/>
        </w:rPr>
        <w:t xml:space="preserve"> </w:t>
      </w:r>
      <w:r w:rsidR="000308CD" w:rsidRPr="0036101C">
        <w:rPr>
          <w:rStyle w:val="apple-converted-space"/>
          <w:sz w:val="22"/>
          <w:shd w:val="clear" w:color="auto" w:fill="FFFFFF"/>
        </w:rPr>
        <w:t>të</w:t>
      </w:r>
      <w:r w:rsidR="000308CD" w:rsidRPr="0036101C" w:rsidDel="000308CD">
        <w:rPr>
          <w:rStyle w:val="apple-converted-space"/>
          <w:sz w:val="22"/>
          <w:shd w:val="clear" w:color="auto" w:fill="FFFFFF"/>
        </w:rPr>
        <w:t xml:space="preserve"> </w:t>
      </w:r>
      <w:r w:rsidRPr="0036101C">
        <w:rPr>
          <w:rStyle w:val="apple-converted-space"/>
          <w:sz w:val="22"/>
          <w:shd w:val="clear" w:color="auto" w:fill="FFFFFF"/>
        </w:rPr>
        <w:t xml:space="preserve">për të rritur rrjetëzimin sektorial, dialogun dhe bashkëpunimin me institucionet publike (qendrore dhe lokale) dhe </w:t>
      </w:r>
      <w:r w:rsidR="0012345D" w:rsidRPr="0036101C">
        <w:rPr>
          <w:rStyle w:val="apple-converted-space"/>
          <w:sz w:val="22"/>
          <w:shd w:val="clear" w:color="auto" w:fill="FFFFFF"/>
        </w:rPr>
        <w:t>komunitetin</w:t>
      </w:r>
      <w:r w:rsidR="0012345D">
        <w:rPr>
          <w:rStyle w:val="apple-converted-space"/>
          <w:sz w:val="22"/>
          <w:shd w:val="clear" w:color="auto" w:fill="FFFFFF"/>
        </w:rPr>
        <w:t xml:space="preserve"> e </w:t>
      </w:r>
      <w:r w:rsidR="0012345D" w:rsidRPr="0036101C">
        <w:rPr>
          <w:rStyle w:val="apple-converted-space"/>
          <w:sz w:val="22"/>
          <w:shd w:val="clear" w:color="auto" w:fill="FFFFFF"/>
        </w:rPr>
        <w:t>biznes</w:t>
      </w:r>
      <w:r w:rsidR="0012345D">
        <w:rPr>
          <w:rStyle w:val="apple-converted-space"/>
          <w:sz w:val="22"/>
          <w:shd w:val="clear" w:color="auto" w:fill="FFFFFF"/>
        </w:rPr>
        <w:t>it</w:t>
      </w:r>
      <w:r w:rsidRPr="0036101C">
        <w:rPr>
          <w:rStyle w:val="apple-converted-space"/>
          <w:sz w:val="22"/>
          <w:shd w:val="clear" w:color="auto" w:fill="FFFFFF"/>
        </w:rPr>
        <w:t xml:space="preserve">. </w:t>
      </w:r>
    </w:p>
    <w:p w14:paraId="43C8F08E" w14:textId="75F13A80" w:rsidR="00A80D5A" w:rsidRPr="0036101C" w:rsidRDefault="0036101C">
      <w:pPr>
        <w:pStyle w:val="NormalWeb"/>
        <w:spacing w:before="120" w:beforeAutospacing="0" w:afterAutospacing="0"/>
        <w:jc w:val="both"/>
        <w:rPr>
          <w:rStyle w:val="apple-converted-space"/>
          <w:sz w:val="22"/>
          <w:highlight w:val="white"/>
        </w:rPr>
      </w:pPr>
      <w:r w:rsidRPr="0036101C">
        <w:rPr>
          <w:rStyle w:val="apple-converted-space"/>
          <w:sz w:val="22"/>
        </w:rPr>
        <w:t>Objektiv</w:t>
      </w:r>
      <w:r w:rsidR="00271F67">
        <w:rPr>
          <w:rStyle w:val="apple-converted-space"/>
          <w:sz w:val="22"/>
        </w:rPr>
        <w:t>i</w:t>
      </w:r>
      <w:r w:rsidRPr="0036101C">
        <w:rPr>
          <w:rStyle w:val="apple-converted-space"/>
          <w:sz w:val="22"/>
        </w:rPr>
        <w:t xml:space="preserve"> 3/Shorti 3:</w:t>
      </w:r>
      <w:r w:rsidR="00271F67">
        <w:rPr>
          <w:rStyle w:val="apple-converted-space"/>
          <w:sz w:val="22"/>
        </w:rPr>
        <w:t xml:space="preserve"> </w:t>
      </w:r>
      <w:r w:rsidRPr="0036101C">
        <w:rPr>
          <w:rStyle w:val="apple-converted-space"/>
          <w:sz w:val="22"/>
          <w:shd w:val="clear" w:color="auto" w:fill="FFFFFF"/>
        </w:rPr>
        <w:t xml:space="preserve">Të mbështesë OSHC-të në promovimin dhe avancimin e demokracisë dhe të drejtave të njeriut përmes veprimeve të bazuara në të drejtat. </w:t>
      </w:r>
    </w:p>
    <w:p w14:paraId="2E6CAFA5" w14:textId="25DA1532" w:rsidR="00A80D5A" w:rsidRPr="0036101C" w:rsidRDefault="0036101C">
      <w:pPr>
        <w:pStyle w:val="NormalWeb"/>
        <w:spacing w:before="120" w:beforeAutospacing="0" w:afterAutospacing="0"/>
        <w:jc w:val="both"/>
        <w:rPr>
          <w:rStyle w:val="apple-converted-space"/>
          <w:sz w:val="22"/>
          <w:highlight w:val="white"/>
        </w:rPr>
      </w:pPr>
      <w:r w:rsidRPr="0036101C">
        <w:rPr>
          <w:rStyle w:val="apple-converted-space"/>
          <w:sz w:val="22"/>
          <w:shd w:val="clear" w:color="auto" w:fill="FFFFFF"/>
        </w:rPr>
        <w:t>Objektivi 4/</w:t>
      </w:r>
      <w:r w:rsidR="0012345D">
        <w:rPr>
          <w:rStyle w:val="apple-converted-space"/>
          <w:sz w:val="22"/>
          <w:shd w:val="clear" w:color="auto" w:fill="FFFFFF"/>
        </w:rPr>
        <w:t xml:space="preserve">Shorti </w:t>
      </w:r>
      <w:r w:rsidRPr="0036101C">
        <w:rPr>
          <w:rStyle w:val="apple-converted-space"/>
          <w:sz w:val="22"/>
          <w:shd w:val="clear" w:color="auto" w:fill="FFFFFF"/>
        </w:rPr>
        <w:t xml:space="preserve">4: </w:t>
      </w:r>
      <w:r w:rsidR="0012345D">
        <w:rPr>
          <w:rStyle w:val="apple-converted-space"/>
          <w:sz w:val="22"/>
          <w:shd w:val="clear" w:color="auto" w:fill="FFFFFF"/>
        </w:rPr>
        <w:t>T</w:t>
      </w:r>
      <w:r w:rsidR="0012345D" w:rsidRPr="0036101C">
        <w:rPr>
          <w:rStyle w:val="apple-converted-space"/>
          <w:sz w:val="22"/>
          <w:shd w:val="clear" w:color="auto" w:fill="FFFFFF"/>
        </w:rPr>
        <w:t>ë</w:t>
      </w:r>
      <w:r w:rsidR="0012345D">
        <w:rPr>
          <w:rStyle w:val="apple-converted-space"/>
          <w:sz w:val="22"/>
          <w:shd w:val="clear" w:color="auto" w:fill="FFFFFF"/>
        </w:rPr>
        <w:t xml:space="preserve"> p</w:t>
      </w:r>
      <w:r w:rsidR="0012345D" w:rsidRPr="0036101C">
        <w:rPr>
          <w:rStyle w:val="apple-converted-space"/>
          <w:sz w:val="22"/>
          <w:shd w:val="clear" w:color="auto" w:fill="FFFFFF"/>
        </w:rPr>
        <w:t>ë</w:t>
      </w:r>
      <w:r w:rsidR="0012345D">
        <w:rPr>
          <w:rStyle w:val="apple-converted-space"/>
          <w:sz w:val="22"/>
          <w:shd w:val="clear" w:color="auto" w:fill="FFFFFF"/>
        </w:rPr>
        <w:t>rmir</w:t>
      </w:r>
      <w:r w:rsidR="0012345D" w:rsidRPr="0036101C">
        <w:rPr>
          <w:rStyle w:val="apple-converted-space"/>
          <w:sz w:val="22"/>
          <w:shd w:val="clear" w:color="auto" w:fill="FFFFFF"/>
        </w:rPr>
        <w:t>ë</w:t>
      </w:r>
      <w:r w:rsidR="0012345D">
        <w:rPr>
          <w:rStyle w:val="apple-converted-space"/>
          <w:sz w:val="22"/>
          <w:shd w:val="clear" w:color="auto" w:fill="FFFFFF"/>
        </w:rPr>
        <w:t>soj</w:t>
      </w:r>
      <w:r w:rsidR="0012345D" w:rsidRPr="0036101C">
        <w:rPr>
          <w:rStyle w:val="apple-converted-space"/>
          <w:sz w:val="22"/>
          <w:shd w:val="clear" w:color="auto" w:fill="FFFFFF"/>
        </w:rPr>
        <w:t xml:space="preserve">ë </w:t>
      </w:r>
      <w:r w:rsidRPr="0036101C">
        <w:rPr>
          <w:rStyle w:val="apple-converted-space"/>
          <w:sz w:val="22"/>
          <w:shd w:val="clear" w:color="auto" w:fill="FFFFFF"/>
        </w:rPr>
        <w:t>dukshmëri</w:t>
      </w:r>
      <w:r w:rsidR="0012345D">
        <w:rPr>
          <w:rStyle w:val="apple-converted-space"/>
          <w:sz w:val="22"/>
          <w:shd w:val="clear" w:color="auto" w:fill="FFFFFF"/>
        </w:rPr>
        <w:t>n</w:t>
      </w:r>
      <w:r w:rsidRPr="0036101C">
        <w:rPr>
          <w:rStyle w:val="apple-converted-space"/>
          <w:sz w:val="22"/>
          <w:shd w:val="clear" w:color="auto" w:fill="FFFFFF"/>
        </w:rPr>
        <w:t xml:space="preserve">ë </w:t>
      </w:r>
      <w:r w:rsidR="0012345D">
        <w:rPr>
          <w:rStyle w:val="apple-converted-space"/>
          <w:sz w:val="22"/>
          <w:shd w:val="clear" w:color="auto" w:fill="FFFFFF"/>
        </w:rPr>
        <w:t xml:space="preserve">e </w:t>
      </w:r>
      <w:r w:rsidRPr="0036101C">
        <w:rPr>
          <w:rStyle w:val="apple-converted-space"/>
          <w:sz w:val="22"/>
          <w:shd w:val="clear" w:color="auto" w:fill="FFFFFF"/>
        </w:rPr>
        <w:t>punës së OSHC-ve dhe forcimi</w:t>
      </w:r>
      <w:r w:rsidR="0012345D">
        <w:rPr>
          <w:rStyle w:val="apple-converted-space"/>
          <w:sz w:val="22"/>
          <w:shd w:val="clear" w:color="auto" w:fill="FFFFFF"/>
        </w:rPr>
        <w:t>n</w:t>
      </w:r>
      <w:r w:rsidRPr="0036101C">
        <w:rPr>
          <w:rStyle w:val="apple-converted-space"/>
          <w:sz w:val="22"/>
          <w:shd w:val="clear" w:color="auto" w:fill="FFFFFF"/>
        </w:rPr>
        <w:t xml:space="preserve"> </w:t>
      </w:r>
      <w:r w:rsidR="0012345D">
        <w:rPr>
          <w:rStyle w:val="apple-converted-space"/>
          <w:sz w:val="22"/>
          <w:shd w:val="clear" w:color="auto" w:fill="FFFFFF"/>
        </w:rPr>
        <w:t>e</w:t>
      </w:r>
      <w:r w:rsidRPr="0036101C">
        <w:rPr>
          <w:rStyle w:val="apple-converted-space"/>
          <w:sz w:val="22"/>
          <w:shd w:val="clear" w:color="auto" w:fill="FFFFFF"/>
        </w:rPr>
        <w:t xml:space="preserve"> komunikimit me </w:t>
      </w:r>
      <w:r w:rsidR="0012345D">
        <w:rPr>
          <w:rStyle w:val="apple-converted-space"/>
          <w:sz w:val="22"/>
          <w:shd w:val="clear" w:color="auto" w:fill="FFFFFF"/>
        </w:rPr>
        <w:t>an</w:t>
      </w:r>
      <w:r w:rsidR="0012345D" w:rsidRPr="0036101C">
        <w:rPr>
          <w:rStyle w:val="apple-converted-space"/>
          <w:sz w:val="22"/>
          <w:shd w:val="clear" w:color="auto" w:fill="FFFFFF"/>
        </w:rPr>
        <w:t>ët</w:t>
      </w:r>
      <w:r w:rsidR="0012345D">
        <w:rPr>
          <w:rStyle w:val="apple-converted-space"/>
          <w:sz w:val="22"/>
          <w:shd w:val="clear" w:color="auto" w:fill="FFFFFF"/>
        </w:rPr>
        <w:t>ar</w:t>
      </w:r>
      <w:r w:rsidR="0012345D" w:rsidRPr="0036101C">
        <w:rPr>
          <w:rStyle w:val="apple-converted-space"/>
          <w:sz w:val="22"/>
          <w:shd w:val="clear" w:color="auto" w:fill="FFFFFF"/>
        </w:rPr>
        <w:t>ë</w:t>
      </w:r>
      <w:r w:rsidR="0012345D">
        <w:rPr>
          <w:rStyle w:val="apple-converted-space"/>
          <w:sz w:val="22"/>
          <w:shd w:val="clear" w:color="auto" w:fill="FFFFFF"/>
        </w:rPr>
        <w:t>si</w:t>
      </w:r>
      <w:r w:rsidR="0012345D" w:rsidRPr="0036101C">
        <w:rPr>
          <w:rStyle w:val="apple-converted-space"/>
          <w:sz w:val="22"/>
          <w:shd w:val="clear" w:color="auto" w:fill="FFFFFF"/>
        </w:rPr>
        <w:t xml:space="preserve"> </w:t>
      </w:r>
      <w:r w:rsidR="0012345D">
        <w:rPr>
          <w:rStyle w:val="apple-converted-space"/>
          <w:sz w:val="22"/>
          <w:shd w:val="clear" w:color="auto" w:fill="FFFFFF"/>
        </w:rPr>
        <w:t>t</w:t>
      </w:r>
      <w:r w:rsidR="0012345D" w:rsidRPr="0036101C">
        <w:rPr>
          <w:rStyle w:val="apple-converted-space"/>
          <w:sz w:val="22"/>
          <w:shd w:val="clear" w:color="auto" w:fill="FFFFFF"/>
        </w:rPr>
        <w:t>ë</w:t>
      </w:r>
      <w:r w:rsidR="0012345D">
        <w:rPr>
          <w:rStyle w:val="apple-converted-space"/>
          <w:sz w:val="22"/>
          <w:shd w:val="clear" w:color="auto" w:fill="FFFFFF"/>
        </w:rPr>
        <w:t xml:space="preserve"> </w:t>
      </w:r>
      <w:r w:rsidR="0012345D" w:rsidRPr="0036101C">
        <w:rPr>
          <w:rStyle w:val="apple-converted-space"/>
          <w:sz w:val="22"/>
          <w:shd w:val="clear" w:color="auto" w:fill="FFFFFF"/>
        </w:rPr>
        <w:t>tyre</w:t>
      </w:r>
      <w:r w:rsidR="0012345D" w:rsidRPr="0036101C" w:rsidDel="0012345D">
        <w:rPr>
          <w:rStyle w:val="apple-converted-space"/>
          <w:sz w:val="22"/>
          <w:shd w:val="clear" w:color="auto" w:fill="FFFFFF"/>
        </w:rPr>
        <w:t xml:space="preserve"> </w:t>
      </w:r>
      <w:r w:rsidRPr="0036101C">
        <w:rPr>
          <w:rStyle w:val="apple-converted-space"/>
          <w:sz w:val="22"/>
          <w:shd w:val="clear" w:color="auto" w:fill="FFFFFF"/>
        </w:rPr>
        <w:t>dhe palët e interesuara sektoriale.</w:t>
      </w:r>
    </w:p>
    <w:p w14:paraId="1A9B2955" w14:textId="4257FB54" w:rsidR="00A80D5A" w:rsidRPr="0036101C" w:rsidRDefault="0036101C">
      <w:pPr>
        <w:pStyle w:val="NormalWeb"/>
        <w:spacing w:before="120" w:beforeAutospacing="0" w:afterAutospacing="0"/>
        <w:jc w:val="both"/>
        <w:rPr>
          <w:rStyle w:val="apple-converted-space"/>
          <w:sz w:val="22"/>
          <w:highlight w:val="white"/>
        </w:rPr>
      </w:pPr>
      <w:r w:rsidRPr="0036101C">
        <w:rPr>
          <w:rStyle w:val="apple-converted-space"/>
          <w:sz w:val="22"/>
          <w:shd w:val="clear" w:color="auto" w:fill="FFFFFF"/>
        </w:rPr>
        <w:t xml:space="preserve">Objektivi 5/Shorti 5: </w:t>
      </w:r>
      <w:r w:rsidR="00271F67" w:rsidRPr="00271F67">
        <w:rPr>
          <w:rStyle w:val="apple-converted-space"/>
          <w:sz w:val="22"/>
          <w:shd w:val="clear" w:color="auto" w:fill="FFFFFF"/>
        </w:rPr>
        <w:t xml:space="preserve">Të inkurajojë rrjetëzimin dhe shkëmbimin </w:t>
      </w:r>
      <w:r w:rsidR="00271F67">
        <w:rPr>
          <w:rStyle w:val="apple-converted-space"/>
          <w:sz w:val="22"/>
          <w:shd w:val="clear" w:color="auto" w:fill="FFFFFF"/>
        </w:rPr>
        <w:t>e</w:t>
      </w:r>
      <w:r w:rsidRPr="0036101C">
        <w:rPr>
          <w:rStyle w:val="apple-converted-space"/>
          <w:sz w:val="22"/>
          <w:shd w:val="clear" w:color="auto" w:fill="FFFFFF"/>
        </w:rPr>
        <w:t xml:space="preserve"> praktikave të mira ndërmjet OSHC-ve, në vend dhe me OSHC-të me bazë IPA/BE (krijimi i nismave dhe platformave qytetare dhe/ose pjesëmarrja në organizatat ombrellë evropiane për bashkëpunim strukturor). </w:t>
      </w:r>
    </w:p>
    <w:p w14:paraId="4D6E83A9" w14:textId="77777777" w:rsidR="00A80D5A" w:rsidRPr="0036101C" w:rsidRDefault="00A80D5A">
      <w:pPr>
        <w:pStyle w:val="NormalWeb"/>
        <w:spacing w:before="120" w:beforeAutospacing="0" w:afterAutospacing="0"/>
        <w:jc w:val="both"/>
        <w:rPr>
          <w:rStyle w:val="apple-converted-space"/>
          <w:sz w:val="22"/>
          <w:highlight w:val="white"/>
        </w:rPr>
      </w:pPr>
    </w:p>
    <w:p w14:paraId="4D8D53EE" w14:textId="77777777" w:rsidR="00A80D5A" w:rsidRPr="0036101C" w:rsidRDefault="00A80D5A">
      <w:pPr>
        <w:pStyle w:val="NormalWeb"/>
        <w:spacing w:beforeAutospacing="0" w:afterAutospacing="0"/>
        <w:jc w:val="both"/>
        <w:rPr>
          <w:b/>
          <w:color w:val="1F4E79" w:themeColor="accent5" w:themeShade="80"/>
          <w:sz w:val="22"/>
          <w:highlight w:val="white"/>
        </w:rPr>
      </w:pPr>
    </w:p>
    <w:tbl>
      <w:tblPr>
        <w:tblW w:w="92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6"/>
      </w:tblGrid>
      <w:tr w:rsidR="00A80D5A" w:rsidRPr="0036101C" w14:paraId="23F60A87" w14:textId="77777777">
        <w:trPr>
          <w:trHeight w:val="557"/>
        </w:trPr>
        <w:tc>
          <w:tcPr>
            <w:tcW w:w="9276" w:type="dxa"/>
          </w:tcPr>
          <w:p w14:paraId="587BE466" w14:textId="4451A9D8" w:rsidR="00A80D5A" w:rsidRPr="0036101C" w:rsidRDefault="0036101C">
            <w:pPr>
              <w:ind w:left="132"/>
              <w:jc w:val="both"/>
              <w:rPr>
                <w:rStyle w:val="apple-converted-space"/>
                <w:rFonts w:ascii="Times New Roman" w:hAnsi="Times New Roman" w:cs="Times New Roman"/>
                <w:color w:val="1F4E79" w:themeColor="accent5" w:themeShade="80"/>
                <w:sz w:val="22"/>
                <w:shd w:val="clear" w:color="auto" w:fill="FFFFFF"/>
              </w:rPr>
            </w:pPr>
            <w:r w:rsidRPr="0036101C">
              <w:rPr>
                <w:rStyle w:val="apple-converted-space"/>
                <w:rFonts w:ascii="Times New Roman" w:hAnsi="Times New Roman" w:cs="Times New Roman"/>
                <w:b/>
                <w:sz w:val="22"/>
                <w:shd w:val="clear" w:color="auto" w:fill="FFFFFF"/>
              </w:rPr>
              <w:t xml:space="preserve">SHËNIM: Veprimet e mbështetura nga </w:t>
            </w:r>
            <w:r w:rsidR="0012345D">
              <w:rPr>
                <w:rStyle w:val="apple-converted-space"/>
                <w:rFonts w:ascii="Times New Roman" w:hAnsi="Times New Roman" w:cs="Times New Roman"/>
                <w:b/>
                <w:sz w:val="22"/>
                <w:shd w:val="clear" w:color="auto" w:fill="FFFFFF"/>
              </w:rPr>
              <w:t>CRM</w:t>
            </w:r>
            <w:r w:rsidR="0012345D" w:rsidRPr="0036101C">
              <w:rPr>
                <w:rStyle w:val="apple-converted-space"/>
                <w:rFonts w:ascii="Times New Roman" w:hAnsi="Times New Roman" w:cs="Times New Roman"/>
                <w:b/>
                <w:sz w:val="22"/>
                <w:shd w:val="clear" w:color="auto" w:fill="FFFFFF"/>
              </w:rPr>
              <w:t xml:space="preserve"> </w:t>
            </w:r>
            <w:r w:rsidRPr="0036101C">
              <w:rPr>
                <w:rStyle w:val="apple-converted-space"/>
                <w:rFonts w:ascii="Times New Roman" w:hAnsi="Times New Roman" w:cs="Times New Roman"/>
                <w:b/>
                <w:sz w:val="22"/>
                <w:shd w:val="clear" w:color="auto" w:fill="FFFFFF"/>
              </w:rPr>
              <w:t>duhet të jenë me përfitim publik</w:t>
            </w:r>
            <w:r w:rsidRPr="0036101C">
              <w:rPr>
                <w:rStyle w:val="FootnoteReference"/>
                <w:rFonts w:ascii="Times New Roman" w:hAnsi="Times New Roman" w:cs="Times New Roman"/>
                <w:b/>
                <w:sz w:val="22"/>
                <w:shd w:val="clear" w:color="auto" w:fill="FFFFFF"/>
              </w:rPr>
              <w:footnoteReference w:id="2"/>
            </w:r>
            <w:r w:rsidRPr="0036101C">
              <w:rPr>
                <w:rStyle w:val="apple-converted-space"/>
                <w:rFonts w:ascii="Times New Roman" w:hAnsi="Times New Roman" w:cs="Times New Roman"/>
                <w:b/>
                <w:sz w:val="22"/>
                <w:shd w:val="clear" w:color="auto" w:fill="FFFFFF"/>
              </w:rPr>
              <w:t xml:space="preserve"> dhe të dizajnuara duke përdorur qasjen e bazuar në të drejtat</w:t>
            </w:r>
            <w:r w:rsidRPr="0036101C">
              <w:rPr>
                <w:rStyle w:val="FootnoteReference"/>
                <w:rFonts w:ascii="Times New Roman" w:hAnsi="Times New Roman" w:cs="Times New Roman"/>
                <w:b/>
                <w:sz w:val="22"/>
                <w:shd w:val="clear" w:color="auto" w:fill="FFFFFF"/>
              </w:rPr>
              <w:footnoteReference w:id="3"/>
            </w:r>
            <w:r w:rsidRPr="0036101C">
              <w:rPr>
                <w:rStyle w:val="apple-converted-space"/>
                <w:rFonts w:ascii="Times New Roman" w:hAnsi="Times New Roman" w:cs="Times New Roman"/>
                <w:b/>
                <w:sz w:val="22"/>
                <w:shd w:val="clear" w:color="auto" w:fill="FFFFFF"/>
              </w:rPr>
              <w:t xml:space="preserve">. </w:t>
            </w:r>
          </w:p>
        </w:tc>
      </w:tr>
    </w:tbl>
    <w:p w14:paraId="3B42D320" w14:textId="2F9815FE" w:rsidR="00A80D5A" w:rsidRPr="0036101C" w:rsidRDefault="00A80D5A">
      <w:pPr>
        <w:pStyle w:val="NormalWeb"/>
        <w:spacing w:beforeAutospacing="0" w:afterAutospacing="0"/>
        <w:jc w:val="both"/>
        <w:rPr>
          <w:rFonts w:ascii="Calibri" w:hAnsi="Calibri" w:cs="Calibri"/>
          <w:color w:val="1F497D"/>
          <w:sz w:val="22"/>
        </w:rPr>
      </w:pPr>
    </w:p>
    <w:p w14:paraId="56B02C7F" w14:textId="31B4B7D1" w:rsidR="00A80D5A" w:rsidRPr="0036101C" w:rsidRDefault="0036101C">
      <w:pPr>
        <w:pStyle w:val="NormalWeb"/>
        <w:spacing w:before="120" w:beforeAutospacing="0" w:afterAutospacing="0"/>
        <w:jc w:val="both"/>
        <w:rPr>
          <w:rStyle w:val="apple-converted-space"/>
          <w:rFonts w:eastAsiaTheme="minorEastAsia"/>
          <w:i/>
          <w:u w:val="single"/>
          <w:shd w:val="clear" w:color="auto" w:fill="FFFFFF"/>
        </w:rPr>
      </w:pPr>
      <w:r w:rsidRPr="0036101C">
        <w:rPr>
          <w:rStyle w:val="apple-converted-space"/>
          <w:rFonts w:eastAsiaTheme="minorEastAsia"/>
          <w:i/>
          <w:u w:val="single"/>
          <w:shd w:val="clear" w:color="auto" w:fill="FFFFFF"/>
        </w:rPr>
        <w:t>Lokacioni</w:t>
      </w:r>
    </w:p>
    <w:p w14:paraId="3FA7DD14" w14:textId="575328B6" w:rsidR="00A80D5A" w:rsidRPr="0036101C" w:rsidRDefault="0036101C">
      <w:pPr>
        <w:pStyle w:val="P68B1DB1-NormalWeb17"/>
        <w:spacing w:beforeAutospacing="0" w:afterAutospacing="0"/>
        <w:jc w:val="both"/>
      </w:pPr>
      <w:r w:rsidRPr="0036101C">
        <w:lastRenderedPageBreak/>
        <w:t>Veprimet duhet të zhvillohen në Republikën e Maqedonisë së Veriut.</w:t>
      </w:r>
    </w:p>
    <w:p w14:paraId="2CF6A0AC" w14:textId="2EF9C15E" w:rsidR="00A80D5A" w:rsidRPr="0036101C" w:rsidRDefault="00A80D5A">
      <w:pPr>
        <w:pStyle w:val="NormalWeb"/>
        <w:spacing w:beforeAutospacing="0" w:afterAutospacing="0"/>
        <w:jc w:val="both"/>
        <w:rPr>
          <w:rStyle w:val="apple-converted-space"/>
          <w:color w:val="FF0000"/>
          <w:sz w:val="22"/>
          <w:shd w:val="clear" w:color="auto" w:fill="FFFFFF"/>
        </w:rPr>
      </w:pPr>
    </w:p>
    <w:p w14:paraId="172EE9C6" w14:textId="50A865FB" w:rsidR="00A80D5A" w:rsidRPr="0036101C" w:rsidRDefault="0036101C">
      <w:pPr>
        <w:pStyle w:val="NormalWeb"/>
        <w:spacing w:before="120" w:beforeAutospacing="0" w:afterAutospacing="0"/>
        <w:jc w:val="both"/>
        <w:rPr>
          <w:rStyle w:val="apple-converted-space"/>
          <w:rFonts w:eastAsiaTheme="minorEastAsia"/>
          <w:i/>
          <w:u w:val="single"/>
          <w:shd w:val="clear" w:color="auto" w:fill="FFFFFF"/>
        </w:rPr>
      </w:pPr>
      <w:r w:rsidRPr="0036101C">
        <w:rPr>
          <w:rStyle w:val="apple-converted-space"/>
          <w:rFonts w:eastAsiaTheme="minorEastAsia"/>
          <w:i/>
          <w:u w:val="single"/>
          <w:shd w:val="clear" w:color="auto" w:fill="FFFFFF"/>
        </w:rPr>
        <w:t>Llojet e aktiviteteve</w:t>
      </w:r>
    </w:p>
    <w:p w14:paraId="17895BA4" w14:textId="42720463" w:rsidR="00A80D5A" w:rsidRPr="0036101C" w:rsidRDefault="0036101C">
      <w:pPr>
        <w:jc w:val="both"/>
        <w:rPr>
          <w:rStyle w:val="apple-converted-space"/>
          <w:rFonts w:ascii="Times New Roman" w:hAnsi="Times New Roman" w:cs="Times New Roman"/>
          <w:sz w:val="22"/>
          <w:highlight w:val="white"/>
        </w:rPr>
      </w:pPr>
      <w:r w:rsidRPr="0036101C">
        <w:rPr>
          <w:rStyle w:val="apple-converted-space"/>
          <w:rFonts w:ascii="Times New Roman" w:hAnsi="Times New Roman" w:cs="Times New Roman"/>
          <w:sz w:val="22"/>
          <w:shd w:val="clear" w:color="auto" w:fill="FFFFFF"/>
        </w:rPr>
        <w:t>Lista e mëposhtme e aktiviteteve treguese mund të mbështetet nën këtë mekanizëm</w:t>
      </w:r>
      <w:r w:rsidRPr="0036101C">
        <w:rPr>
          <w:rStyle w:val="apple-converted-space"/>
          <w:rFonts w:ascii="Times New Roman" w:hAnsi="Times New Roman" w:cs="Times New Roman"/>
          <w:b/>
          <w:sz w:val="22"/>
          <w:shd w:val="clear" w:color="auto" w:fill="FFFFFF"/>
        </w:rPr>
        <w:t>:</w:t>
      </w:r>
    </w:p>
    <w:p w14:paraId="0B8D5E26" w14:textId="77777777" w:rsidR="00A80D5A" w:rsidRPr="0036101C" w:rsidRDefault="0036101C">
      <w:pPr>
        <w:pStyle w:val="P68B1DB1-Normal7"/>
        <w:numPr>
          <w:ilvl w:val="0"/>
          <w:numId w:val="7"/>
        </w:numPr>
        <w:spacing w:before="120" w:line="259" w:lineRule="auto"/>
        <w:jc w:val="both"/>
        <w:rPr>
          <w:rFonts w:eastAsiaTheme="minorHAnsi"/>
        </w:rPr>
      </w:pPr>
      <w:r w:rsidRPr="0036101C">
        <w:t xml:space="preserve">Organizimi ose pjesëmarrja në takime lokale, rajonale dhe kombëtare, trajnime, konferenca, seminare ose ngjarje të ngjashme. Organizimi i aktiviteteve dhe ngjarjeve tematike në nivel lokal. </w:t>
      </w:r>
    </w:p>
    <w:p w14:paraId="49619ACA" w14:textId="2F0CBE42" w:rsidR="00A80D5A" w:rsidRPr="0036101C" w:rsidRDefault="0036101C">
      <w:pPr>
        <w:pStyle w:val="P68B1DB1-Normal7"/>
        <w:numPr>
          <w:ilvl w:val="0"/>
          <w:numId w:val="7"/>
        </w:numPr>
        <w:shd w:val="clear" w:color="auto" w:fill="FFFFFF" w:themeFill="background1"/>
        <w:spacing w:before="120" w:line="259" w:lineRule="auto"/>
        <w:jc w:val="both"/>
        <w:rPr>
          <w:rFonts w:eastAsiaTheme="minorHAnsi"/>
        </w:rPr>
      </w:pPr>
      <w:r w:rsidRPr="0036101C">
        <w:t xml:space="preserve">Organizimi i aktiviteteve avokuese/lobuese në nivel lokal përmes fushatave të ndryshme tematike, debateve për politika publike me palët e interesuara përkatëse dhe aktiviteteve të tjera për mbledhjen e të dhënave të bazuara në prova për zbatimin e politikave në nivel të komunitetit lokal. </w:t>
      </w:r>
    </w:p>
    <w:p w14:paraId="407C200F" w14:textId="28A6F79F" w:rsidR="00A80D5A" w:rsidRPr="0036101C" w:rsidRDefault="0036101C">
      <w:pPr>
        <w:pStyle w:val="P68B1DB1-Normal7"/>
        <w:numPr>
          <w:ilvl w:val="0"/>
          <w:numId w:val="7"/>
        </w:numPr>
        <w:shd w:val="clear" w:color="auto" w:fill="FFFFFF" w:themeFill="background1"/>
        <w:spacing w:before="120" w:line="259" w:lineRule="auto"/>
        <w:jc w:val="both"/>
        <w:rPr>
          <w:rFonts w:eastAsiaTheme="minorHAnsi"/>
        </w:rPr>
      </w:pPr>
      <w:r w:rsidRPr="0036101C">
        <w:t>Aktivitetet e zhvillimit organizativ për: planifikimin strategjik, qeverisjen e mirë të brendshme, mbledhjen e fondeve, lobimin, avokimin, ndërtimin e njësive zgjedhore, ose çdo temë tjetër relevante.</w:t>
      </w:r>
    </w:p>
    <w:p w14:paraId="74E6AFC5" w14:textId="01829A21" w:rsidR="00A80D5A" w:rsidRPr="0036101C" w:rsidRDefault="0036101C">
      <w:pPr>
        <w:pStyle w:val="P68B1DB1-Normal18"/>
        <w:numPr>
          <w:ilvl w:val="0"/>
          <w:numId w:val="7"/>
        </w:numPr>
        <w:spacing w:before="120" w:line="259" w:lineRule="auto"/>
        <w:jc w:val="both"/>
      </w:pPr>
      <w:r w:rsidRPr="0036101C">
        <w:t>Aktivitete për mbikëqyrje dhe/ose monitorimin e politikave të qeverisjes lokale dhe institucioneve publike.</w:t>
      </w:r>
    </w:p>
    <w:p w14:paraId="50F20DFA" w14:textId="7DC5DB4D" w:rsidR="00A80D5A" w:rsidRPr="0036101C" w:rsidRDefault="0036101C">
      <w:pPr>
        <w:pStyle w:val="P68B1DB1-Normal18"/>
        <w:numPr>
          <w:ilvl w:val="0"/>
          <w:numId w:val="7"/>
        </w:numPr>
        <w:spacing w:before="120" w:line="259" w:lineRule="auto"/>
        <w:jc w:val="both"/>
      </w:pPr>
      <w:r w:rsidRPr="0036101C">
        <w:t>Aktivitete për zhvillimin e mjeteve inovative (digjitale) që do të stimulonin qeverisjen e mirë, pjesëmarrjen, transparencën dhe llogaridhënien.</w:t>
      </w:r>
    </w:p>
    <w:p w14:paraId="710F21EF" w14:textId="77777777" w:rsidR="00A80D5A" w:rsidRPr="0036101C" w:rsidRDefault="0036101C">
      <w:pPr>
        <w:pStyle w:val="P68B1DB1-Normal18"/>
        <w:numPr>
          <w:ilvl w:val="0"/>
          <w:numId w:val="7"/>
        </w:numPr>
        <w:spacing w:before="120" w:line="259" w:lineRule="auto"/>
        <w:jc w:val="both"/>
      </w:pPr>
      <w:r w:rsidRPr="0036101C">
        <w:t xml:space="preserve">Organizimi i aktiviteteve vullnetare në fusha të ndryshme në përputhje me nevojat lokale. </w:t>
      </w:r>
    </w:p>
    <w:p w14:paraId="6C95C02A" w14:textId="0BEDA5A1" w:rsidR="00A80D5A" w:rsidRPr="0036101C" w:rsidRDefault="0036101C">
      <w:pPr>
        <w:pStyle w:val="P68B1DB1-Normal18"/>
        <w:numPr>
          <w:ilvl w:val="0"/>
          <w:numId w:val="7"/>
        </w:numPr>
        <w:spacing w:before="120" w:line="259" w:lineRule="auto"/>
        <w:jc w:val="both"/>
      </w:pPr>
      <w:r w:rsidRPr="0036101C">
        <w:t xml:space="preserve">Organizimi i aktiviteteve në shërbim të nevojave të menjëhershme të qytetarëve të shkaktuara nga pandemia </w:t>
      </w:r>
      <w:r w:rsidR="005313F2">
        <w:t>C</w:t>
      </w:r>
      <w:r w:rsidRPr="0036101C">
        <w:t>OVID-19, me fokus grupet e rrezikuara.</w:t>
      </w:r>
    </w:p>
    <w:p w14:paraId="59EAB56A" w14:textId="63CA1C8E" w:rsidR="00A80D5A" w:rsidRPr="0036101C" w:rsidRDefault="0036101C">
      <w:pPr>
        <w:pStyle w:val="P68B1DB1-Normal18"/>
        <w:numPr>
          <w:ilvl w:val="0"/>
          <w:numId w:val="7"/>
        </w:numPr>
        <w:spacing w:before="120" w:line="259" w:lineRule="auto"/>
        <w:jc w:val="both"/>
      </w:pPr>
      <w:r w:rsidRPr="0036101C">
        <w:t>Aktivitete për integrimin e barazisë gjinore, pjesëmarrjen e të rinjve, mbrojtjen e mjedisit, përfshirjen e grupeve të pafavorizuara.</w:t>
      </w:r>
    </w:p>
    <w:p w14:paraId="1C3E77E1" w14:textId="3833161B" w:rsidR="00A80D5A" w:rsidRPr="0036101C" w:rsidRDefault="0036101C">
      <w:pPr>
        <w:pStyle w:val="P68B1DB1-Normal18"/>
        <w:numPr>
          <w:ilvl w:val="0"/>
          <w:numId w:val="7"/>
        </w:numPr>
        <w:spacing w:before="120" w:line="259" w:lineRule="auto"/>
        <w:jc w:val="both"/>
      </w:pPr>
      <w:r w:rsidRPr="0036101C">
        <w:t xml:space="preserve">Aktivitetet për bashkëpunimin ndër-sektorial dhe krijimin e partneriteteve strategjike, përfshirë ndarjen e praktikave më të mira. </w:t>
      </w:r>
    </w:p>
    <w:p w14:paraId="2389BA72" w14:textId="36F7C304" w:rsidR="00A80D5A" w:rsidRPr="0036101C" w:rsidRDefault="0036101C">
      <w:pPr>
        <w:pStyle w:val="P68B1DB1-Normal18"/>
        <w:numPr>
          <w:ilvl w:val="0"/>
          <w:numId w:val="7"/>
        </w:numPr>
        <w:spacing w:before="120" w:line="259" w:lineRule="auto"/>
        <w:jc w:val="both"/>
      </w:pPr>
      <w:r w:rsidRPr="0036101C">
        <w:t>Organizimi i aktiviteteve për të adresuar nevojat e ndryshme të komunitetit në lidhje me ndonjë nga fushat tematike (shih Aneksin A2) në bashkëpunim me palët e interesuara përkatëse (pushtetin lokal dhe qendror, komuniteti i biznesit, institucionet arsimore, media lokale).</w:t>
      </w:r>
    </w:p>
    <w:p w14:paraId="40EB5789" w14:textId="72905F42" w:rsidR="00A80D5A" w:rsidRPr="0036101C" w:rsidRDefault="0036101C">
      <w:pPr>
        <w:pStyle w:val="P68B1DB1-Normal7"/>
        <w:numPr>
          <w:ilvl w:val="0"/>
          <w:numId w:val="7"/>
        </w:numPr>
        <w:spacing w:before="120" w:line="259" w:lineRule="auto"/>
        <w:jc w:val="both"/>
        <w:rPr>
          <w:rFonts w:eastAsiaTheme="minorHAnsi"/>
        </w:rPr>
      </w:pPr>
      <w:r w:rsidRPr="0036101C">
        <w:t xml:space="preserve">Aktivitetet për përmirësimin e dukshmërisë dhe komunikimit të punës së OSHC-ve (për shembull ueb faqe dhe media sociale, mjete inovative digjitale, hartimi dhe zbatimi i strategjive të dukshmërisë/komunikimit, zhvillimi i identitetit institucional, botimet e ndryshme dhe materiale të tjera për dukshmëri më të madhe). </w:t>
      </w:r>
    </w:p>
    <w:p w14:paraId="5A2F0186" w14:textId="2BD3605B" w:rsidR="00A80D5A" w:rsidRPr="0036101C" w:rsidRDefault="0036101C">
      <w:pPr>
        <w:numPr>
          <w:ilvl w:val="0"/>
          <w:numId w:val="7"/>
        </w:numPr>
        <w:spacing w:before="120" w:line="259" w:lineRule="auto"/>
        <w:jc w:val="both"/>
        <w:rPr>
          <w:rFonts w:ascii="Times New Roman" w:eastAsiaTheme="minorHAnsi" w:hAnsi="Times New Roman" w:cs="Times New Roman"/>
          <w:sz w:val="22"/>
        </w:rPr>
      </w:pPr>
      <w:r w:rsidRPr="0036101C">
        <w:rPr>
          <w:rFonts w:ascii="Times New Roman" w:eastAsiaTheme="minorHAnsi" w:hAnsi="Times New Roman" w:cs="Times New Roman"/>
          <w:sz w:val="22"/>
        </w:rPr>
        <w:t>Aktivitete për rrjetëzim dhe bashkëpunim në fusha të veçanta tematike (ju lutemi shihni Aneksin A.2) me OSHC-të/rrjetet/platformat sektoriale të tjera nga vendi/rajoni IPA</w:t>
      </w:r>
      <w:r w:rsidRPr="0036101C">
        <w:rPr>
          <w:rStyle w:val="FootnoteReference"/>
          <w:rFonts w:ascii="Times New Roman" w:eastAsiaTheme="minorHAnsi" w:hAnsi="Times New Roman" w:cs="Times New Roman"/>
          <w:sz w:val="22"/>
        </w:rPr>
        <w:footnoteReference w:id="4"/>
      </w:r>
      <w:r w:rsidRPr="0036101C">
        <w:rPr>
          <w:rFonts w:ascii="Times New Roman" w:eastAsiaTheme="minorHAnsi" w:hAnsi="Times New Roman" w:cs="Times New Roman"/>
          <w:sz w:val="22"/>
        </w:rPr>
        <w:t>/BE</w:t>
      </w:r>
      <w:r w:rsidRPr="0036101C">
        <w:rPr>
          <w:rStyle w:val="FootnoteReference"/>
          <w:rFonts w:ascii="Times New Roman" w:eastAsiaTheme="minorHAnsi" w:hAnsi="Times New Roman" w:cs="Times New Roman"/>
          <w:sz w:val="22"/>
        </w:rPr>
        <w:footnoteReference w:id="5"/>
      </w:r>
      <w:r w:rsidRPr="0036101C">
        <w:rPr>
          <w:rFonts w:ascii="Times New Roman" w:eastAsiaTheme="minorHAnsi" w:hAnsi="Times New Roman" w:cs="Times New Roman"/>
          <w:sz w:val="22"/>
        </w:rPr>
        <w:t xml:space="preserve">. </w:t>
      </w:r>
    </w:p>
    <w:p w14:paraId="585A5568" w14:textId="3A776EC9" w:rsidR="00A80D5A" w:rsidRPr="0036101C" w:rsidRDefault="0036101C">
      <w:pPr>
        <w:pStyle w:val="P68B1DB1-Normal18"/>
        <w:numPr>
          <w:ilvl w:val="0"/>
          <w:numId w:val="7"/>
        </w:numPr>
        <w:spacing w:before="120" w:line="259" w:lineRule="auto"/>
        <w:jc w:val="both"/>
      </w:pPr>
      <w:r w:rsidRPr="0036101C">
        <w:t>Aktivitetet për bashkëpunim me institucione të ndryshme të BE-së në lidhje me mbështetjen e procesit të hyrjes në BE të vendit dhe informimin më të mirë të qytetarëve për procesin (Komisioni i BE-së, Parlamenti i BE-së, agjencitë e ndryshme të KE-së, Gjykata Evropiane e të Drejtave të Njeriut).</w:t>
      </w:r>
    </w:p>
    <w:p w14:paraId="02D9E15E" w14:textId="77777777" w:rsidR="00A80D5A" w:rsidRPr="0036101C" w:rsidRDefault="00A80D5A">
      <w:pPr>
        <w:jc w:val="both"/>
        <w:rPr>
          <w:rFonts w:ascii="Times New Roman" w:eastAsiaTheme="minorHAnsi" w:hAnsi="Times New Roman" w:cs="Times New Roman"/>
          <w:b/>
          <w:sz w:val="22"/>
          <w:u w:val="single"/>
        </w:rPr>
      </w:pPr>
    </w:p>
    <w:p w14:paraId="2C04A2DE" w14:textId="2D431DC5" w:rsidR="00A80D5A" w:rsidRPr="0036101C" w:rsidRDefault="0036101C">
      <w:pPr>
        <w:pStyle w:val="P68B1DB1-Normal18"/>
        <w:jc w:val="both"/>
      </w:pPr>
      <w:r w:rsidRPr="0036101C">
        <w:rPr>
          <w:b/>
          <w:u w:val="single"/>
        </w:rPr>
        <w:lastRenderedPageBreak/>
        <w:t>SHËNIM: Lista e llojeve të aktiviteteve nuk është shteruese</w:t>
      </w:r>
      <w:r w:rsidRPr="0036101C">
        <w:t xml:space="preserve">, </w:t>
      </w:r>
      <w:r w:rsidRPr="0036101C">
        <w:rPr>
          <w:b/>
        </w:rPr>
        <w:t>por vetëm ilustruese dhe aktivitete përkatëse që nuk janë përmendur më lart do të konsiderohen gjithashtu për mbështetje.</w:t>
      </w:r>
      <w:r w:rsidRPr="0036101C">
        <w:t xml:space="preserve"> </w:t>
      </w:r>
    </w:p>
    <w:p w14:paraId="48E8F7F6" w14:textId="77777777" w:rsidR="00A80D5A" w:rsidRPr="0036101C" w:rsidRDefault="00A80D5A">
      <w:pPr>
        <w:jc w:val="both"/>
        <w:rPr>
          <w:rFonts w:ascii="Times New Roman" w:eastAsiaTheme="minorHAnsi" w:hAnsi="Times New Roman" w:cs="Times New Roman"/>
          <w:sz w:val="22"/>
        </w:rPr>
      </w:pPr>
    </w:p>
    <w:p w14:paraId="2C7D85FD" w14:textId="7EEACCA6" w:rsidR="00A80D5A" w:rsidRPr="0036101C" w:rsidRDefault="0036101C">
      <w:pPr>
        <w:pStyle w:val="NormalWeb"/>
        <w:spacing w:beforeAutospacing="0" w:afterAutospacing="0"/>
        <w:jc w:val="both"/>
        <w:rPr>
          <w:rStyle w:val="apple-converted-space"/>
          <w:rFonts w:eastAsiaTheme="minorEastAsia"/>
          <w:i/>
          <w:u w:val="single"/>
          <w:shd w:val="clear" w:color="auto" w:fill="FFFFFF"/>
        </w:rPr>
      </w:pPr>
      <w:r w:rsidRPr="0036101C">
        <w:rPr>
          <w:rStyle w:val="apple-converted-space"/>
          <w:rFonts w:eastAsiaTheme="minorEastAsia"/>
          <w:i/>
          <w:u w:val="single"/>
          <w:shd w:val="clear" w:color="auto" w:fill="FFFFFF"/>
        </w:rPr>
        <w:t>Element</w:t>
      </w:r>
      <w:r w:rsidR="007D28F2">
        <w:rPr>
          <w:rStyle w:val="apple-converted-space"/>
          <w:rFonts w:eastAsiaTheme="minorEastAsia"/>
          <w:i/>
          <w:u w:val="single"/>
          <w:shd w:val="clear" w:color="auto" w:fill="FFFFFF"/>
        </w:rPr>
        <w:t>e</w:t>
      </w:r>
      <w:r w:rsidRPr="0036101C">
        <w:rPr>
          <w:rStyle w:val="apple-converted-space"/>
          <w:rFonts w:eastAsiaTheme="minorEastAsia"/>
          <w:i/>
          <w:u w:val="single"/>
          <w:shd w:val="clear" w:color="auto" w:fill="FFFFFF"/>
        </w:rPr>
        <w:t xml:space="preserve"> të veçant</w:t>
      </w:r>
      <w:r w:rsidR="007D28F2">
        <w:rPr>
          <w:rStyle w:val="apple-converted-space"/>
          <w:rFonts w:eastAsiaTheme="minorEastAsia"/>
          <w:i/>
          <w:u w:val="single"/>
          <w:shd w:val="clear" w:color="auto" w:fill="FFFFFF"/>
        </w:rPr>
        <w:t>a</w:t>
      </w:r>
      <w:r w:rsidRPr="0036101C">
        <w:rPr>
          <w:rStyle w:val="apple-converted-space"/>
          <w:rFonts w:eastAsiaTheme="minorEastAsia"/>
          <w:i/>
          <w:u w:val="single"/>
          <w:shd w:val="clear" w:color="auto" w:fill="FFFFFF"/>
        </w:rPr>
        <w:t xml:space="preserve"> me vlerë të shtuar të veprimit</w:t>
      </w:r>
    </w:p>
    <w:p w14:paraId="668A0AC8" w14:textId="54FADA58" w:rsidR="00A80D5A" w:rsidRPr="0036101C" w:rsidRDefault="0036101C">
      <w:pPr>
        <w:pStyle w:val="P68B1DB1-Normal7"/>
        <w:jc w:val="both"/>
      </w:pPr>
      <w:r w:rsidRPr="0036101C">
        <w:t xml:space="preserve">Barazia gjinore, pjesëmarrja e të rinjve dhe mbrojtja e mjedisit mund të konsiderohen si elemente me vlerë të shtuar nëse integrohen në veprimin e propozuar. Përfshirja e njerëzve të pafavorizuar/grupeve të rrezikuara, shkëmbimi i praktikave më të mira dhe njohurive mund të konsiderohen gjithashtu si elementë me vlerë të shtuar. Këto aspekte me vlerë të shtuar nuk janë të detyrueshme, por rekomandohen me forcë të përfshihen në veprim pasi ato do të merren në konsideratë në vlerësimin e aplikimit. </w:t>
      </w:r>
    </w:p>
    <w:p w14:paraId="36974686" w14:textId="77777777" w:rsidR="00A80D5A" w:rsidRPr="0036101C" w:rsidRDefault="00A80D5A">
      <w:pPr>
        <w:jc w:val="both"/>
        <w:rPr>
          <w:rFonts w:ascii="Times New Roman" w:hAnsi="Times New Roman" w:cs="Times New Roman"/>
          <w:sz w:val="22"/>
        </w:rPr>
      </w:pPr>
    </w:p>
    <w:p w14:paraId="3DFDE661" w14:textId="085C5067" w:rsidR="00A80D5A" w:rsidRPr="0036101C" w:rsidRDefault="0036101C">
      <w:pPr>
        <w:suppressAutoHyphens/>
        <w:spacing w:after="200"/>
        <w:jc w:val="both"/>
        <w:rPr>
          <w:rStyle w:val="apple-converted-space"/>
          <w:rFonts w:ascii="Times New Roman" w:eastAsia="Times New Roman" w:hAnsi="Times New Roman" w:cs="Times New Roman"/>
          <w:sz w:val="22"/>
          <w:shd w:val="clear" w:color="auto" w:fill="FFFFFF"/>
        </w:rPr>
      </w:pPr>
      <w:r w:rsidRPr="0036101C">
        <w:rPr>
          <w:rStyle w:val="apple-converted-space"/>
          <w:rFonts w:ascii="Times New Roman" w:eastAsia="Times New Roman" w:hAnsi="Times New Roman" w:cs="Times New Roman"/>
          <w:sz w:val="22"/>
          <w:shd w:val="clear" w:color="auto" w:fill="FFFFFF"/>
        </w:rPr>
        <w:t xml:space="preserve">Më pas, është vendosur elementi tjetër me vlerë të shtuar i cili do t'i japë peshë procesit të vlerësimit: </w:t>
      </w:r>
    </w:p>
    <w:p w14:paraId="2A2C1CA7" w14:textId="10B9E728" w:rsidR="00A80D5A" w:rsidRPr="0036101C" w:rsidRDefault="0036101C">
      <w:pPr>
        <w:numPr>
          <w:ilvl w:val="0"/>
          <w:numId w:val="35"/>
        </w:numPr>
        <w:tabs>
          <w:tab w:val="clear" w:pos="1440"/>
          <w:tab w:val="num" w:pos="1083"/>
        </w:tabs>
        <w:suppressAutoHyphens/>
        <w:ind w:left="1077" w:hanging="357"/>
        <w:jc w:val="both"/>
        <w:rPr>
          <w:rStyle w:val="apple-converted-space"/>
          <w:rFonts w:ascii="Times New Roman" w:eastAsia="Times New Roman" w:hAnsi="Times New Roman" w:cs="Times New Roman"/>
          <w:sz w:val="22"/>
          <w:shd w:val="clear" w:color="auto" w:fill="FFFFFF"/>
        </w:rPr>
      </w:pPr>
      <w:r w:rsidRPr="0036101C">
        <w:rPr>
          <w:rStyle w:val="apple-converted-space"/>
          <w:rFonts w:ascii="Times New Roman" w:eastAsia="Times New Roman" w:hAnsi="Times New Roman" w:cs="Times New Roman"/>
          <w:sz w:val="22"/>
          <w:shd w:val="clear" w:color="auto" w:fill="FFFFFF"/>
        </w:rPr>
        <w:t>Veprimet e zbatuara në rajon(et) që nuk mbulohen mjaftueshëm nga aplikimet e miratuara në raundin e parë të aplikimit nën këtë thirrje për mbështetje në nat</w:t>
      </w:r>
      <w:r w:rsidR="007D28F2">
        <w:rPr>
          <w:rStyle w:val="apple-converted-space"/>
          <w:rFonts w:ascii="Times New Roman" w:eastAsia="Times New Roman" w:hAnsi="Times New Roman" w:cs="Times New Roman"/>
          <w:sz w:val="22"/>
          <w:shd w:val="clear" w:color="auto" w:fill="FFFFFF"/>
        </w:rPr>
        <w:t>y</w:t>
      </w:r>
      <w:r w:rsidRPr="0036101C">
        <w:rPr>
          <w:rStyle w:val="apple-converted-space"/>
          <w:rFonts w:ascii="Times New Roman" w:eastAsia="Times New Roman" w:hAnsi="Times New Roman" w:cs="Times New Roman"/>
          <w:sz w:val="22"/>
          <w:shd w:val="clear" w:color="auto" w:fill="FFFFFF"/>
        </w:rPr>
        <w:t xml:space="preserve">rë. </w:t>
      </w:r>
    </w:p>
    <w:p w14:paraId="58CC8C9F" w14:textId="5718113D" w:rsidR="00A80D5A" w:rsidRPr="0036101C" w:rsidRDefault="00A80D5A">
      <w:pPr>
        <w:jc w:val="both"/>
        <w:rPr>
          <w:rFonts w:ascii="Times New Roman" w:eastAsiaTheme="minorHAnsi" w:hAnsi="Times New Roman" w:cs="Times New Roman"/>
          <w:sz w:val="22"/>
        </w:rPr>
      </w:pPr>
    </w:p>
    <w:p w14:paraId="3A3B942B" w14:textId="77777777" w:rsidR="00A80D5A" w:rsidRPr="0036101C" w:rsidRDefault="0036101C">
      <w:pPr>
        <w:pStyle w:val="NormalWeb"/>
        <w:spacing w:beforeAutospacing="0" w:afterAutospacing="0"/>
        <w:jc w:val="both"/>
        <w:rPr>
          <w:rStyle w:val="apple-converted-space"/>
          <w:rFonts w:eastAsiaTheme="minorEastAsia"/>
          <w:i/>
          <w:u w:val="single"/>
          <w:shd w:val="clear" w:color="auto" w:fill="FFFFFF"/>
        </w:rPr>
      </w:pPr>
      <w:r w:rsidRPr="0036101C">
        <w:rPr>
          <w:rStyle w:val="apple-converted-space"/>
          <w:rFonts w:eastAsiaTheme="minorEastAsia"/>
          <w:i/>
          <w:u w:val="single"/>
          <w:shd w:val="clear" w:color="auto" w:fill="FFFFFF"/>
        </w:rPr>
        <w:t>Dukshmëria</w:t>
      </w:r>
    </w:p>
    <w:p w14:paraId="1AAFF863" w14:textId="77777777" w:rsidR="00A80D5A" w:rsidRPr="0036101C" w:rsidRDefault="0036101C">
      <w:pPr>
        <w:pStyle w:val="P68B1DB1-Normal18"/>
        <w:jc w:val="both"/>
      </w:pPr>
      <w:r w:rsidRPr="0036101C">
        <w:t>Aplikantët duhet të ndërmarrin të gjitha hapat e nevojshëm për të publikuar faktin se Bashkimi Evropian ka financuar veprimin. Për aq sa është e mundur, veprimet që financohen tërësisht ose pjesërisht nga Bashkimi Evropian duhet të përfshijnë aktivitete të informimit dhe komunikimit të dizajnuara për të rritur ndërgjegjësimin e audiencave specifike ose të përgjithshme për arsyet e veprimit dhe mbështetjen e BE-së për veprimin në vendin ose rajonin në fjalë, si dhe rezultatet dhe ndikimin e kësaj mbështetjeje.</w:t>
      </w:r>
    </w:p>
    <w:p w14:paraId="6BD89B5E" w14:textId="71E7A5D8" w:rsidR="00A80D5A" w:rsidRPr="0036101C" w:rsidRDefault="0036101C">
      <w:pPr>
        <w:pStyle w:val="P68B1DB1-Normal18"/>
        <w:jc w:val="both"/>
      </w:pPr>
      <w:r w:rsidRPr="0036101C">
        <w:t xml:space="preserve">Aplikantët duhet të </w:t>
      </w:r>
      <w:r w:rsidR="00B9670C">
        <w:t>respektojn</w:t>
      </w:r>
      <w:r w:rsidR="00B9670C" w:rsidRPr="0036101C">
        <w:t>ë</w:t>
      </w:r>
      <w:r w:rsidR="00B9670C">
        <w:t xml:space="preserve"> </w:t>
      </w:r>
      <w:r w:rsidRPr="0036101C">
        <w:t xml:space="preserve">objektivat dhe </w:t>
      </w:r>
      <w:r w:rsidR="00B9670C" w:rsidRPr="0036101C">
        <w:t>p</w:t>
      </w:r>
      <w:r w:rsidR="00B9670C">
        <w:t>rioritetet</w:t>
      </w:r>
      <w:r w:rsidR="00B9670C" w:rsidRPr="0036101C">
        <w:t xml:space="preserve"> </w:t>
      </w:r>
      <w:r w:rsidRPr="0036101C">
        <w:t>dhe të garantojnë dukshmërinë e financimit të BE-së (shih Manualin për Komunikim dhe dukshmëri për veprimet e jashtme të BE-së specifikuar dhe publikuar nga Komisioni Evropian në:</w:t>
      </w:r>
    </w:p>
    <w:p w14:paraId="5067D90D" w14:textId="6FD94704" w:rsidR="00A80D5A" w:rsidRPr="0036101C" w:rsidRDefault="0036101C">
      <w:pPr>
        <w:pStyle w:val="P68B1DB1-Normal7"/>
        <w:jc w:val="both"/>
      </w:pPr>
      <w:r w:rsidRPr="0036101C">
        <w:t>https://ec.europa.eu/international-partnerships/comm-visibility-requirements_en)</w:t>
      </w:r>
    </w:p>
    <w:p w14:paraId="77AAA0B8" w14:textId="15E312C1" w:rsidR="00A80D5A" w:rsidRPr="0036101C" w:rsidRDefault="0036101C">
      <w:pPr>
        <w:pStyle w:val="P68B1DB1-Normal7"/>
        <w:jc w:val="both"/>
      </w:pPr>
      <w:r w:rsidRPr="0036101C">
        <w:t xml:space="preserve"> </w:t>
      </w:r>
    </w:p>
    <w:p w14:paraId="06160036" w14:textId="77777777" w:rsidR="00A80D5A" w:rsidRPr="0036101C" w:rsidRDefault="0036101C">
      <w:pPr>
        <w:pStyle w:val="P68B1DB1-Normal19"/>
      </w:pPr>
      <w:r w:rsidRPr="0036101C">
        <w:t xml:space="preserve">Numri i aplikimeve për aplikant </w:t>
      </w:r>
    </w:p>
    <w:p w14:paraId="1512DDAE" w14:textId="5ED24421" w:rsidR="00A80D5A" w:rsidRPr="0036101C" w:rsidRDefault="0036101C">
      <w:pPr>
        <w:pStyle w:val="P68B1DB1-Normal20"/>
        <w:jc w:val="both"/>
      </w:pPr>
      <w:r w:rsidRPr="0036101C">
        <w:t>Aplikanti nuk mund të paraqesë më shumë se një (1) aplikim në</w:t>
      </w:r>
      <w:r w:rsidRPr="0036101C">
        <w:rPr>
          <w:b/>
        </w:rPr>
        <w:t xml:space="preserve"> </w:t>
      </w:r>
      <w:r w:rsidRPr="0036101C">
        <w:t>kuadër të kësaj Thirrjeje për mbështetje në nat</w:t>
      </w:r>
      <w:r w:rsidR="00B9670C">
        <w:t>y</w:t>
      </w:r>
      <w:r w:rsidRPr="0036101C">
        <w:t xml:space="preserve">rë. </w:t>
      </w:r>
    </w:p>
    <w:p w14:paraId="0FCF0952" w14:textId="438C9F26" w:rsidR="00A80D5A" w:rsidRPr="0036101C" w:rsidRDefault="0036101C">
      <w:pPr>
        <w:pStyle w:val="P68B1DB1-Normal20"/>
        <w:jc w:val="both"/>
      </w:pPr>
      <w:r w:rsidRPr="0036101C">
        <w:t xml:space="preserve">Sidoqoftë, në rast se aplikimi refuzohet në raundin e parë të aplikimit, </w:t>
      </w:r>
      <w:r w:rsidRPr="0036101C">
        <w:rPr>
          <w:b/>
        </w:rPr>
        <w:t xml:space="preserve">aplikanti mund të paraqesë përsëri aplikimin në raundin e dytë pas absorbimit të rekomandimeve për përmirësim, të dhëna nga </w:t>
      </w:r>
      <w:r w:rsidR="00B9670C">
        <w:rPr>
          <w:b/>
        </w:rPr>
        <w:t>CRM</w:t>
      </w:r>
      <w:r w:rsidR="00B9670C" w:rsidRPr="0036101C">
        <w:rPr>
          <w:b/>
        </w:rPr>
        <w:t xml:space="preserve"> </w:t>
      </w:r>
      <w:r w:rsidRPr="0036101C">
        <w:rPr>
          <w:b/>
        </w:rPr>
        <w:t>vlerësuesit</w:t>
      </w:r>
      <w:r w:rsidRPr="0036101C">
        <w:t xml:space="preserve">. </w:t>
      </w:r>
    </w:p>
    <w:p w14:paraId="4A026773" w14:textId="77777777" w:rsidR="00A80D5A" w:rsidRPr="0036101C" w:rsidRDefault="00A80D5A">
      <w:pPr>
        <w:jc w:val="both"/>
        <w:rPr>
          <w:rFonts w:ascii="Times New Roman" w:eastAsia="Times New Roman" w:hAnsi="Times New Roman" w:cs="Times New Roman"/>
          <w:sz w:val="22"/>
        </w:rPr>
      </w:pPr>
    </w:p>
    <w:p w14:paraId="2D8E4B71" w14:textId="77777777" w:rsidR="00A80D5A" w:rsidRPr="0036101C" w:rsidRDefault="00A80D5A">
      <w:pPr>
        <w:jc w:val="both"/>
        <w:rPr>
          <w:rStyle w:val="apple-converted-space"/>
          <w:rFonts w:ascii="Times New Roman" w:hAnsi="Times New Roman" w:cs="Times New Roman"/>
          <w:b/>
          <w:sz w:val="22"/>
          <w:highlight w:val="white"/>
          <w:u w:val="single"/>
        </w:rPr>
      </w:pPr>
    </w:p>
    <w:p w14:paraId="46F10664" w14:textId="2BA954A0" w:rsidR="00A80D5A" w:rsidRPr="0036101C" w:rsidRDefault="0036101C">
      <w:pPr>
        <w:pStyle w:val="P68B1DB1-Normal15"/>
        <w:ind w:left="710"/>
        <w:jc w:val="both"/>
      </w:pPr>
      <w:r w:rsidRPr="0036101C">
        <w:t xml:space="preserve">2.3 </w:t>
      </w:r>
      <w:r w:rsidR="00B9670C" w:rsidRPr="0036101C">
        <w:t>P</w:t>
      </w:r>
      <w:r w:rsidR="00B9670C">
        <w:t>ranuesh</w:t>
      </w:r>
      <w:r w:rsidR="00B9670C" w:rsidRPr="0036101C">
        <w:t xml:space="preserve">mëria </w:t>
      </w:r>
      <w:r w:rsidRPr="0036101C">
        <w:t xml:space="preserve">e kostove: kostot që mund të përfshihen </w:t>
      </w:r>
    </w:p>
    <w:p w14:paraId="278F0A17" w14:textId="1A204F80" w:rsidR="00A80D5A" w:rsidRPr="0036101C" w:rsidRDefault="0036101C">
      <w:pPr>
        <w:pStyle w:val="P68B1DB1-Normal20"/>
        <w:spacing w:before="240"/>
      </w:pPr>
      <w:r w:rsidRPr="0036101C">
        <w:t>Vetëm "kostot e pranueshme" mund të mbulohen nga mbështetja në nat</w:t>
      </w:r>
      <w:r w:rsidR="00B9670C">
        <w:t>y</w:t>
      </w:r>
      <w:r w:rsidRPr="0036101C">
        <w:t xml:space="preserve">rë. Kategoritë e kostove që janë të pranueshme dhe të pa pranueshme janë paraqitur më poshtë. </w:t>
      </w:r>
    </w:p>
    <w:p w14:paraId="3582CD14" w14:textId="77777777" w:rsidR="00A80D5A" w:rsidRPr="0036101C" w:rsidRDefault="00A80D5A">
      <w:pPr>
        <w:jc w:val="both"/>
        <w:rPr>
          <w:rFonts w:ascii="Times New Roman" w:hAnsi="Times New Roman" w:cs="Times New Roman"/>
          <w:i/>
          <w:sz w:val="22"/>
          <w:shd w:val="clear" w:color="auto" w:fill="FFFFFF"/>
        </w:rPr>
      </w:pPr>
    </w:p>
    <w:p w14:paraId="4F37A875" w14:textId="100203D8" w:rsidR="00A80D5A" w:rsidRPr="0036101C" w:rsidRDefault="0036101C">
      <w:pPr>
        <w:pStyle w:val="NormalWeb"/>
        <w:spacing w:beforeAutospacing="0" w:afterAutospacing="0"/>
        <w:jc w:val="both"/>
        <w:rPr>
          <w:rStyle w:val="apple-converted-space"/>
          <w:rFonts w:eastAsiaTheme="minorEastAsia"/>
          <w:i/>
          <w:u w:val="single"/>
          <w:shd w:val="clear" w:color="auto" w:fill="FFFFFF"/>
        </w:rPr>
      </w:pPr>
      <w:r w:rsidRPr="0036101C">
        <w:rPr>
          <w:rStyle w:val="apple-converted-space"/>
          <w:rFonts w:eastAsiaTheme="minorEastAsia"/>
          <w:i/>
          <w:u w:val="single"/>
          <w:shd w:val="clear" w:color="auto" w:fill="FFFFFF"/>
        </w:rPr>
        <w:t xml:space="preserve">Kostot e pranueshme </w:t>
      </w:r>
    </w:p>
    <w:p w14:paraId="1B9DEA4C" w14:textId="68AA567B" w:rsidR="00A80D5A" w:rsidRPr="0036101C" w:rsidRDefault="0036101C">
      <w:pPr>
        <w:pStyle w:val="P68B1DB1-ListParagraph21"/>
        <w:numPr>
          <w:ilvl w:val="0"/>
          <w:numId w:val="1"/>
        </w:numPr>
        <w:spacing w:before="120"/>
        <w:jc w:val="both"/>
        <w:rPr>
          <w:i/>
        </w:rPr>
      </w:pPr>
      <w:r w:rsidRPr="0036101C">
        <w:t xml:space="preserve">Kompensimi i ekipit të veprimit (maksimumi 20% e buxhetit total të veprimit; </w:t>
      </w:r>
      <w:r w:rsidRPr="0036101C">
        <w:rPr>
          <w:i/>
        </w:rPr>
        <w:t xml:space="preserve">personeli i administratës publike nuk ka të drejtë për kompensim të tillë): </w:t>
      </w:r>
    </w:p>
    <w:p w14:paraId="1432168A" w14:textId="64969F04" w:rsidR="00A80D5A" w:rsidRPr="0036101C" w:rsidRDefault="0036101C">
      <w:pPr>
        <w:pStyle w:val="P68B1DB1-ListParagraph22"/>
        <w:numPr>
          <w:ilvl w:val="0"/>
          <w:numId w:val="11"/>
        </w:numPr>
        <w:spacing w:before="120"/>
      </w:pPr>
      <w:r w:rsidRPr="0036101C">
        <w:t xml:space="preserve">Stafi i OShC-së që punon drejtpërdrejt në zbatimin e veprimit </w:t>
      </w:r>
    </w:p>
    <w:p w14:paraId="6097770F" w14:textId="5A917C72" w:rsidR="00A80D5A" w:rsidRPr="0036101C" w:rsidRDefault="0036101C">
      <w:pPr>
        <w:pStyle w:val="P68B1DB1-ListParagraph21"/>
        <w:numPr>
          <w:ilvl w:val="0"/>
          <w:numId w:val="1"/>
        </w:numPr>
        <w:spacing w:before="120"/>
        <w:contextualSpacing w:val="0"/>
      </w:pPr>
      <w:r w:rsidRPr="0036101C">
        <w:t>Shpenzimet për ekspert tematik max. 1 (përjashtuar çështjet ligjore):</w:t>
      </w:r>
    </w:p>
    <w:p w14:paraId="2DBF6CDE" w14:textId="514140AA" w:rsidR="00A80D5A" w:rsidRPr="0036101C" w:rsidRDefault="0036101C">
      <w:pPr>
        <w:pStyle w:val="P68B1DB1-ListParagraph22"/>
        <w:numPr>
          <w:ilvl w:val="0"/>
          <w:numId w:val="11"/>
        </w:numPr>
        <w:spacing w:before="120"/>
      </w:pPr>
      <w:r w:rsidRPr="0036101C">
        <w:t>Tarifa e ekspertit për një ekspertizë tematike specifike të nevojshme në mënyrë eksplicite për aktivitete specifike në kuadër të veprimit të zgjedhur, jo relevante për çështjet legjislative</w:t>
      </w:r>
      <w:bookmarkStart w:id="2" w:name="_Hlk86154248"/>
      <w:bookmarkEnd w:id="2"/>
    </w:p>
    <w:p w14:paraId="23C04223" w14:textId="015F3B2B" w:rsidR="00A80D5A" w:rsidRPr="0036101C" w:rsidRDefault="0036101C">
      <w:pPr>
        <w:pStyle w:val="P68B1DB1-ListParagraph21"/>
        <w:numPr>
          <w:ilvl w:val="0"/>
          <w:numId w:val="1"/>
        </w:numPr>
        <w:spacing w:before="120"/>
        <w:contextualSpacing w:val="0"/>
      </w:pPr>
      <w:r w:rsidRPr="0036101C">
        <w:t>Shpenzimet për ekspert ma</w:t>
      </w:r>
      <w:r w:rsidR="00AA4CF9">
        <w:t>x</w:t>
      </w:r>
      <w:r w:rsidRPr="0036101C">
        <w:t xml:space="preserve">. 1, për çdo temë legjislative që gjykohet dhe justifikohet e nevojshme për arritjen me sukses të aktiviteteve të veprimit: </w:t>
      </w:r>
    </w:p>
    <w:p w14:paraId="21B6091D" w14:textId="627B13A1" w:rsidR="00A80D5A" w:rsidRPr="0036101C" w:rsidRDefault="0036101C">
      <w:pPr>
        <w:pStyle w:val="P68B1DB1-ListParagraph22"/>
        <w:numPr>
          <w:ilvl w:val="0"/>
          <w:numId w:val="11"/>
        </w:numPr>
        <w:spacing w:before="120"/>
        <w:rPr>
          <w:b/>
        </w:rPr>
      </w:pPr>
      <w:r w:rsidRPr="0036101C">
        <w:t xml:space="preserve">Kostoja e ekspertit për ekspertizë legjislative për një temë specifike </w:t>
      </w:r>
    </w:p>
    <w:p w14:paraId="5F88738D" w14:textId="77777777" w:rsidR="00A80D5A" w:rsidRPr="0036101C" w:rsidRDefault="0036101C">
      <w:pPr>
        <w:pStyle w:val="P68B1DB1-ListParagraph21"/>
        <w:numPr>
          <w:ilvl w:val="0"/>
          <w:numId w:val="1"/>
        </w:numPr>
        <w:spacing w:before="120"/>
        <w:contextualSpacing w:val="0"/>
      </w:pPr>
      <w:r w:rsidRPr="0036101C">
        <w:lastRenderedPageBreak/>
        <w:t>Shpenzimet për udhëtim, akomodim dhe transport:</w:t>
      </w:r>
    </w:p>
    <w:p w14:paraId="10C5D625" w14:textId="77777777" w:rsidR="00A80D5A" w:rsidRPr="0036101C" w:rsidRDefault="0036101C">
      <w:pPr>
        <w:pStyle w:val="P68B1DB1-ListParagraph22"/>
        <w:numPr>
          <w:ilvl w:val="0"/>
          <w:numId w:val="11"/>
        </w:numPr>
        <w:spacing w:before="120"/>
      </w:pPr>
      <w:r w:rsidRPr="0036101C">
        <w:t xml:space="preserve">Shpenzime për udhëtim dhe transport </w:t>
      </w:r>
    </w:p>
    <w:p w14:paraId="10B50ED4" w14:textId="77777777" w:rsidR="00A80D5A" w:rsidRPr="0036101C" w:rsidRDefault="0036101C">
      <w:pPr>
        <w:pStyle w:val="P68B1DB1-ListParagraph22"/>
        <w:numPr>
          <w:ilvl w:val="0"/>
          <w:numId w:val="11"/>
        </w:numPr>
        <w:spacing w:before="120"/>
      </w:pPr>
      <w:r w:rsidRPr="0036101C">
        <w:t xml:space="preserve">Kostot e akomodimit </w:t>
      </w:r>
    </w:p>
    <w:p w14:paraId="50BA7C41" w14:textId="5449C2C9" w:rsidR="00A80D5A" w:rsidRPr="0036101C" w:rsidRDefault="0036101C">
      <w:pPr>
        <w:pStyle w:val="P68B1DB1-ListParagraph22"/>
        <w:numPr>
          <w:ilvl w:val="0"/>
          <w:numId w:val="11"/>
        </w:numPr>
        <w:spacing w:before="120"/>
      </w:pPr>
      <w:r w:rsidRPr="0036101C">
        <w:t xml:space="preserve">Kompensime për mirëmbajtje </w:t>
      </w:r>
    </w:p>
    <w:p w14:paraId="1D3DA4A7" w14:textId="77777777" w:rsidR="00A80D5A" w:rsidRPr="0036101C" w:rsidRDefault="0036101C">
      <w:pPr>
        <w:pStyle w:val="P68B1DB1-ListParagraph21"/>
        <w:numPr>
          <w:ilvl w:val="0"/>
          <w:numId w:val="1"/>
        </w:numPr>
        <w:spacing w:before="120"/>
        <w:contextualSpacing w:val="0"/>
      </w:pPr>
      <w:r w:rsidRPr="0036101C">
        <w:t>Shpenzimet për organizimin dhe/ose pjesëmarrjen në ngjarje:</w:t>
      </w:r>
    </w:p>
    <w:p w14:paraId="60E268BE" w14:textId="77777777" w:rsidR="00A80D5A" w:rsidRPr="0036101C" w:rsidRDefault="0036101C">
      <w:pPr>
        <w:pStyle w:val="P68B1DB1-ListParagraph22"/>
        <w:numPr>
          <w:ilvl w:val="0"/>
          <w:numId w:val="11"/>
        </w:numPr>
        <w:spacing w:before="120"/>
      </w:pPr>
      <w:r w:rsidRPr="0036101C">
        <w:t>Tarifat e qirasë për lokalet, shpenzimet për ushqim</w:t>
      </w:r>
    </w:p>
    <w:p w14:paraId="6D75101C" w14:textId="77777777" w:rsidR="00A80D5A" w:rsidRPr="0036101C" w:rsidRDefault="0036101C">
      <w:pPr>
        <w:pStyle w:val="P68B1DB1-ListParagraph22"/>
        <w:numPr>
          <w:ilvl w:val="0"/>
          <w:numId w:val="11"/>
        </w:numPr>
        <w:spacing w:before="120"/>
      </w:pPr>
      <w:r w:rsidRPr="0036101C">
        <w:t>Shërbime për përkthim dhe interpretim</w:t>
      </w:r>
    </w:p>
    <w:p w14:paraId="3EF7E24E" w14:textId="77777777" w:rsidR="00A80D5A" w:rsidRPr="0036101C" w:rsidRDefault="0036101C">
      <w:pPr>
        <w:pStyle w:val="P68B1DB1-ListParagraph22"/>
        <w:numPr>
          <w:ilvl w:val="0"/>
          <w:numId w:val="11"/>
        </w:numPr>
        <w:spacing w:before="120"/>
      </w:pPr>
      <w:r w:rsidRPr="0036101C">
        <w:t>Kërkesa të veçanta për ngjarjet (nëse është e nevojshme – p.sh. stacionar, ambulanca, kujdesi për fëmijët, PCR teste)</w:t>
      </w:r>
    </w:p>
    <w:p w14:paraId="46B1A5F9" w14:textId="61477500" w:rsidR="00A80D5A" w:rsidRPr="0036101C" w:rsidRDefault="0036101C">
      <w:pPr>
        <w:pStyle w:val="P68B1DB1-ListParagraph22"/>
        <w:numPr>
          <w:ilvl w:val="0"/>
          <w:numId w:val="11"/>
        </w:numPr>
        <w:spacing w:before="120"/>
      </w:pPr>
      <w:r w:rsidRPr="0036101C">
        <w:t xml:space="preserve">Marrëdhëniet me publikun/komunikimi dhe/ose kostot logjistike dhe kostot e tjera në lidhje me organizimin e ngjarjes </w:t>
      </w:r>
    </w:p>
    <w:p w14:paraId="32B09A95" w14:textId="7BF142D7" w:rsidR="00A80D5A" w:rsidRPr="0036101C" w:rsidRDefault="0036101C">
      <w:pPr>
        <w:pStyle w:val="P68B1DB1-ListParagraph22"/>
        <w:numPr>
          <w:ilvl w:val="0"/>
          <w:numId w:val="11"/>
        </w:numPr>
        <w:spacing w:before="120"/>
      </w:pPr>
      <w:r w:rsidRPr="0036101C">
        <w:t>Marrja me qira e pajisjeve dhe/ose mobileve për ngjarje (kostoja e qirasë nuk mund të tejkalojë 1/3 e vlerës së blerjes së pajisjeve/mobileve përkatëse)</w:t>
      </w:r>
    </w:p>
    <w:p w14:paraId="118E446C" w14:textId="3D6D8483" w:rsidR="00A80D5A" w:rsidRPr="0036101C" w:rsidRDefault="0036101C">
      <w:pPr>
        <w:pStyle w:val="P68B1DB1-ListParagraph22"/>
        <w:numPr>
          <w:ilvl w:val="0"/>
          <w:numId w:val="1"/>
        </w:numPr>
        <w:spacing w:before="120"/>
        <w:contextualSpacing w:val="0"/>
        <w:jc w:val="both"/>
      </w:pPr>
      <w:r w:rsidRPr="0036101C">
        <w:rPr>
          <w:b/>
        </w:rPr>
        <w:t>Prokurimi i pajisjeve të vogla</w:t>
      </w:r>
      <w:r w:rsidRPr="0036101C">
        <w:t xml:space="preserve">, të cilat duhet të jenë të lidhura drejtpërdrejt me aktivitetin e veprimit dhe të justifikuara. Prokurimi është i </w:t>
      </w:r>
      <w:r w:rsidRPr="0036101C">
        <w:rPr>
          <w:b/>
        </w:rPr>
        <w:t>kufizuar në 15% të kostos totale të buxhetit të veprimit</w:t>
      </w:r>
      <w:r w:rsidRPr="0036101C">
        <w:t xml:space="preserve">. Lloji i kategorisë së pajisjeve mund të jetë për administrimin e veprimit (laptop, printer, projektor), por gjithashtu mund të jetë një lloj tjetër i pajisjeve për natyrën specifike të aktiviteteve të veprimit. Pas zbatimit të plotë të veprimit, pronësia e pajisjes do t'i transferohet OSHC-së që ka zbatuar veprimin. </w:t>
      </w:r>
    </w:p>
    <w:p w14:paraId="4D24BE40" w14:textId="2E05A8A6" w:rsidR="00A80D5A" w:rsidRPr="0036101C" w:rsidRDefault="0036101C">
      <w:pPr>
        <w:pStyle w:val="P68B1DB1-ListParagraph22"/>
        <w:numPr>
          <w:ilvl w:val="0"/>
          <w:numId w:val="1"/>
        </w:numPr>
        <w:spacing w:before="120"/>
        <w:contextualSpacing w:val="0"/>
      </w:pPr>
      <w:r w:rsidRPr="0036101C">
        <w:rPr>
          <w:b/>
        </w:rPr>
        <w:t xml:space="preserve">Kostot e komunikimit </w:t>
      </w:r>
      <w:r w:rsidRPr="0036101C">
        <w:t xml:space="preserve">(telefon, internet) në lidhje me zbatimin e aktiviteteve brenda periudhës së veprimit </w:t>
      </w:r>
      <w:r w:rsidRPr="0036101C">
        <w:rPr>
          <w:b/>
        </w:rPr>
        <w:t>nuk mund të tejkalojnë 15 EUR/muaj/person që zbaton veprimin</w:t>
      </w:r>
      <w:r w:rsidRPr="0036101C">
        <w:t xml:space="preserve">. </w:t>
      </w:r>
    </w:p>
    <w:p w14:paraId="15A387E0" w14:textId="77777777" w:rsidR="00A80D5A" w:rsidRPr="0036101C" w:rsidRDefault="0036101C">
      <w:pPr>
        <w:pStyle w:val="P68B1DB1-ListParagraph21"/>
        <w:numPr>
          <w:ilvl w:val="0"/>
          <w:numId w:val="1"/>
        </w:numPr>
        <w:spacing w:before="120"/>
        <w:contextualSpacing w:val="0"/>
      </w:pPr>
      <w:r w:rsidRPr="0036101C">
        <w:t>Kostot për prodhimin e videos dhe post-prodhimin:</w:t>
      </w:r>
    </w:p>
    <w:p w14:paraId="3DA0620F" w14:textId="10D90B0E" w:rsidR="00A80D5A" w:rsidRPr="0036101C" w:rsidRDefault="0036101C">
      <w:pPr>
        <w:pStyle w:val="P68B1DB1-ListParagraph22"/>
        <w:numPr>
          <w:ilvl w:val="0"/>
          <w:numId w:val="11"/>
        </w:numPr>
        <w:spacing w:before="120"/>
      </w:pPr>
      <w:r w:rsidRPr="0036101C">
        <w:t>Film, dokumentar, video xhirime (p.sh., formatim, redaktim, zërim), podkaste; shërbime përkthimi dhe interpretimi; kostot e reklamës</w:t>
      </w:r>
    </w:p>
    <w:p w14:paraId="4CDEB071" w14:textId="518BD91A" w:rsidR="00A80D5A" w:rsidRPr="0036101C" w:rsidRDefault="0036101C">
      <w:pPr>
        <w:pStyle w:val="ListParagraph"/>
        <w:numPr>
          <w:ilvl w:val="0"/>
          <w:numId w:val="1"/>
        </w:numPr>
        <w:spacing w:before="120"/>
        <w:contextualSpacing w:val="0"/>
        <w:rPr>
          <w:rStyle w:val="Strong"/>
          <w:b w:val="0"/>
          <w:sz w:val="22"/>
        </w:rPr>
      </w:pPr>
      <w:r w:rsidRPr="0036101C">
        <w:rPr>
          <w:rStyle w:val="Strong"/>
          <w:sz w:val="22"/>
        </w:rPr>
        <w:t>Kostot për dukshmërinë e veprimit, për dizajn, prodhimin ose printimin e dukshmërisë, komunikim, materiale dhe mjete promovuese</w:t>
      </w:r>
      <w:r w:rsidRPr="0036101C">
        <w:rPr>
          <w:rStyle w:val="Strong"/>
          <w:b w:val="0"/>
          <w:sz w:val="22"/>
        </w:rPr>
        <w:t xml:space="preserve"> (p.sh., broshura, postera, fletushka, parulla, dosje, stilolapsa, faqe interneti, mjete të mediave sociale):</w:t>
      </w:r>
    </w:p>
    <w:p w14:paraId="1623B479" w14:textId="4F523F7B" w:rsidR="00A80D5A" w:rsidRPr="0036101C" w:rsidRDefault="0036101C">
      <w:pPr>
        <w:pStyle w:val="P68B1DB1-ListParagraph22"/>
        <w:numPr>
          <w:ilvl w:val="0"/>
          <w:numId w:val="11"/>
        </w:numPr>
        <w:spacing w:before="120"/>
        <w:jc w:val="both"/>
      </w:pPr>
      <w:r w:rsidRPr="0036101C">
        <w:t>Kostot për projektimin, printimin, shpërndarjen, shërbimet e përkthimit, kostot e reklamës</w:t>
      </w:r>
    </w:p>
    <w:p w14:paraId="72CF3C21" w14:textId="77777777" w:rsidR="00A80D5A" w:rsidRPr="0036101C" w:rsidRDefault="0036101C">
      <w:pPr>
        <w:pStyle w:val="P68B1DB1-ListParagraph22"/>
        <w:numPr>
          <w:ilvl w:val="0"/>
          <w:numId w:val="11"/>
        </w:numPr>
        <w:spacing w:before="120"/>
        <w:jc w:val="both"/>
      </w:pPr>
      <w:r w:rsidRPr="0036101C">
        <w:t>Kostot e faqes së internetit (p.sh., baza e të dhënave, dizajni, hosting, platforma, kostot e mjeteve të tjera digjitale, etj.)</w:t>
      </w:r>
    </w:p>
    <w:p w14:paraId="1342A458" w14:textId="77777777" w:rsidR="00A80D5A" w:rsidRPr="0036101C" w:rsidRDefault="0036101C">
      <w:pPr>
        <w:pStyle w:val="P68B1DB1-ListParagraph22"/>
        <w:numPr>
          <w:ilvl w:val="0"/>
          <w:numId w:val="11"/>
        </w:numPr>
        <w:spacing w:before="120"/>
        <w:jc w:val="both"/>
      </w:pPr>
      <w:r w:rsidRPr="0036101C">
        <w:t>Tarifat e blerjes/abonimit në mjete digjitale për veprimin</w:t>
      </w:r>
    </w:p>
    <w:p w14:paraId="7EA77C3D" w14:textId="7D149E2C" w:rsidR="00A80D5A" w:rsidRPr="0036101C" w:rsidRDefault="0036101C">
      <w:pPr>
        <w:pStyle w:val="P68B1DB1-ListParagraph22"/>
        <w:numPr>
          <w:ilvl w:val="0"/>
          <w:numId w:val="11"/>
        </w:numPr>
        <w:spacing w:before="120"/>
        <w:jc w:val="both"/>
      </w:pPr>
      <w:r w:rsidRPr="0036101C">
        <w:t>Dizajni dhe menaxhimi i mjeteve të mediave sociale/digjitale</w:t>
      </w:r>
    </w:p>
    <w:p w14:paraId="7A5619CE" w14:textId="77777777" w:rsidR="00A80D5A" w:rsidRPr="0036101C" w:rsidRDefault="00A80D5A">
      <w:pPr>
        <w:pStyle w:val="ListParagraph"/>
        <w:spacing w:before="120"/>
        <w:rPr>
          <w:rFonts w:ascii="Times New Roman" w:hAnsi="Times New Roman" w:cs="Times New Roman"/>
          <w:sz w:val="22"/>
        </w:rPr>
      </w:pPr>
    </w:p>
    <w:p w14:paraId="5428F888" w14:textId="2A4A021B" w:rsidR="00A80D5A" w:rsidRPr="0036101C" w:rsidRDefault="0036101C">
      <w:pPr>
        <w:pStyle w:val="P68B1DB1-Normal23"/>
        <w:jc w:val="both"/>
      </w:pPr>
      <w:r w:rsidRPr="0036101C">
        <w:t>Kostot e pa pranueshme</w:t>
      </w:r>
    </w:p>
    <w:p w14:paraId="42D36D9F" w14:textId="2D816FA8" w:rsidR="00A80D5A" w:rsidRPr="0036101C" w:rsidRDefault="00360464">
      <w:pPr>
        <w:pStyle w:val="P68B1DB1-ListParagraph22"/>
        <w:numPr>
          <w:ilvl w:val="0"/>
          <w:numId w:val="11"/>
        </w:numPr>
        <w:spacing w:before="120"/>
        <w:jc w:val="both"/>
      </w:pPr>
      <w:r>
        <w:t>Nderim</w:t>
      </w:r>
      <w:r w:rsidRPr="0036101C">
        <w:t xml:space="preserve"> </w:t>
      </w:r>
      <w:r w:rsidR="0036101C" w:rsidRPr="0036101C">
        <w:t>për aktivistët dhe kompensimi për stafin e administratës publike</w:t>
      </w:r>
    </w:p>
    <w:p w14:paraId="44213C09" w14:textId="77777777" w:rsidR="00A80D5A" w:rsidRPr="0036101C" w:rsidRDefault="0036101C">
      <w:pPr>
        <w:pStyle w:val="P68B1DB1-ListParagraph22"/>
        <w:numPr>
          <w:ilvl w:val="0"/>
          <w:numId w:val="11"/>
        </w:numPr>
        <w:jc w:val="both"/>
      </w:pPr>
      <w:r w:rsidRPr="0036101C">
        <w:t>Veprimet/kostot në lidhje me të ardhurat dhe përfitimet personale</w:t>
      </w:r>
    </w:p>
    <w:p w14:paraId="4A0905DA" w14:textId="77777777" w:rsidR="00A80D5A" w:rsidRPr="0036101C" w:rsidRDefault="0036101C">
      <w:pPr>
        <w:pStyle w:val="P68B1DB1-ListParagraph22"/>
        <w:numPr>
          <w:ilvl w:val="0"/>
          <w:numId w:val="11"/>
        </w:numPr>
        <w:jc w:val="both"/>
      </w:pPr>
      <w:r w:rsidRPr="0036101C">
        <w:t>Veprimet/kostot që kanë të bëjnë me aktivitetet fitimprurëse ose tregtare</w:t>
      </w:r>
    </w:p>
    <w:p w14:paraId="57325B34" w14:textId="77777777" w:rsidR="00A80D5A" w:rsidRPr="0036101C" w:rsidRDefault="0036101C">
      <w:pPr>
        <w:pStyle w:val="P68B1DB1-ListParagraph22"/>
        <w:numPr>
          <w:ilvl w:val="0"/>
          <w:numId w:val="11"/>
        </w:numPr>
        <w:jc w:val="both"/>
      </w:pPr>
      <w:r w:rsidRPr="0036101C">
        <w:t>Bursat</w:t>
      </w:r>
    </w:p>
    <w:p w14:paraId="41E1C005" w14:textId="77777777" w:rsidR="00A80D5A" w:rsidRPr="0036101C" w:rsidRDefault="0036101C">
      <w:pPr>
        <w:pStyle w:val="P68B1DB1-ListParagraph22"/>
        <w:numPr>
          <w:ilvl w:val="0"/>
          <w:numId w:val="11"/>
        </w:numPr>
        <w:jc w:val="both"/>
      </w:pPr>
      <w:r w:rsidRPr="0036101C">
        <w:t>Aktivitetet tashmë të financuara nga BE ose një donator tjetër</w:t>
      </w:r>
    </w:p>
    <w:p w14:paraId="0C904966" w14:textId="77777777" w:rsidR="00A80D5A" w:rsidRPr="0036101C" w:rsidRDefault="0036101C">
      <w:pPr>
        <w:pStyle w:val="P68B1DB1-ListParagraph22"/>
        <w:numPr>
          <w:ilvl w:val="0"/>
          <w:numId w:val="11"/>
        </w:numPr>
        <w:jc w:val="both"/>
      </w:pPr>
      <w:r w:rsidRPr="0036101C">
        <w:t>Bashkëfinancimi i projekteve të financuara nga BE dhe/ose donatorë të tjerë</w:t>
      </w:r>
    </w:p>
    <w:p w14:paraId="165C8FC5" w14:textId="758EFA8C" w:rsidR="00A80D5A" w:rsidRPr="0036101C" w:rsidRDefault="0036101C">
      <w:pPr>
        <w:pStyle w:val="P68B1DB1-ListParagraph22"/>
        <w:numPr>
          <w:ilvl w:val="0"/>
          <w:numId w:val="11"/>
        </w:numPr>
        <w:jc w:val="both"/>
      </w:pPr>
      <w:r w:rsidRPr="0036101C">
        <w:t>Veprimet që janë dublim i një projekt</w:t>
      </w:r>
      <w:r w:rsidR="00360464">
        <w:t>i</w:t>
      </w:r>
      <w:r w:rsidRPr="0036101C">
        <w:t xml:space="preserve"> tjetër të financuar</w:t>
      </w:r>
    </w:p>
    <w:p w14:paraId="78043781" w14:textId="77777777" w:rsidR="00A80D5A" w:rsidRPr="0036101C" w:rsidRDefault="0036101C">
      <w:pPr>
        <w:pStyle w:val="P68B1DB1-ListParagraph22"/>
        <w:numPr>
          <w:ilvl w:val="0"/>
          <w:numId w:val="11"/>
        </w:numPr>
        <w:jc w:val="both"/>
      </w:pPr>
      <w:r w:rsidRPr="0036101C">
        <w:t>Borxhet dhe tarifat e shërbimit të borxhit (interesat)</w:t>
      </w:r>
    </w:p>
    <w:p w14:paraId="54D23FE1" w14:textId="77777777" w:rsidR="00A80D5A" w:rsidRPr="0036101C" w:rsidRDefault="0036101C">
      <w:pPr>
        <w:pStyle w:val="P68B1DB1-ListParagraph22"/>
        <w:numPr>
          <w:ilvl w:val="0"/>
          <w:numId w:val="11"/>
        </w:numPr>
        <w:jc w:val="both"/>
      </w:pPr>
      <w:r w:rsidRPr="0036101C">
        <w:t>Shpenzimet e kryera për aktivitetet e zbatuara para miratimit të mbështetjes së kërkuar</w:t>
      </w:r>
    </w:p>
    <w:p w14:paraId="20E989DC" w14:textId="77777777" w:rsidR="00A80D5A" w:rsidRPr="0036101C" w:rsidRDefault="0036101C">
      <w:pPr>
        <w:pStyle w:val="P68B1DB1-ListParagraph22"/>
        <w:numPr>
          <w:ilvl w:val="0"/>
          <w:numId w:val="11"/>
        </w:numPr>
        <w:jc w:val="both"/>
      </w:pPr>
      <w:r w:rsidRPr="0036101C">
        <w:t>Kostot për marrjen me qira ose blerjen e zyrave, shërbimeve apo punëve të zyrave, infrastrukturës dhe rinovimit dhe/ose rinovimit të ndërtesave</w:t>
      </w:r>
    </w:p>
    <w:p w14:paraId="3A5A7EB6" w14:textId="77777777" w:rsidR="00A80D5A" w:rsidRPr="0036101C" w:rsidRDefault="0036101C">
      <w:pPr>
        <w:pStyle w:val="P68B1DB1-ListParagraph22"/>
        <w:numPr>
          <w:ilvl w:val="0"/>
          <w:numId w:val="11"/>
        </w:numPr>
        <w:jc w:val="both"/>
      </w:pPr>
      <w:r w:rsidRPr="0036101C">
        <w:t>Kostot për mbështetjen e partive politike dhe agjendave</w:t>
      </w:r>
    </w:p>
    <w:p w14:paraId="3CBBD207" w14:textId="77777777" w:rsidR="00A80D5A" w:rsidRPr="0036101C" w:rsidRDefault="0036101C">
      <w:pPr>
        <w:pStyle w:val="P68B1DB1-ListParagraph22"/>
        <w:numPr>
          <w:ilvl w:val="0"/>
          <w:numId w:val="11"/>
        </w:numPr>
        <w:jc w:val="both"/>
      </w:pPr>
      <w:r w:rsidRPr="0036101C">
        <w:t>Kostot për aktivitete fetare</w:t>
      </w:r>
    </w:p>
    <w:p w14:paraId="0C751C14" w14:textId="77777777" w:rsidR="00A80D5A" w:rsidRPr="0036101C" w:rsidRDefault="00A80D5A">
      <w:pPr>
        <w:rPr>
          <w:rFonts w:ascii="Times New Roman" w:hAnsi="Times New Roman" w:cs="Times New Roman"/>
          <w:sz w:val="22"/>
        </w:rPr>
      </w:pPr>
    </w:p>
    <w:p w14:paraId="1B6360BB" w14:textId="0F58E884" w:rsidR="00A80D5A" w:rsidRPr="0036101C" w:rsidRDefault="00A80D5A">
      <w:pPr>
        <w:rPr>
          <w:rFonts w:ascii="Times New Roman Bold" w:eastAsia="Times New Roman" w:hAnsi="Times New Roman Bold" w:cs="Times New Roman"/>
          <w:b/>
          <w:smallCaps/>
          <w:color w:val="002060"/>
          <w:sz w:val="28"/>
        </w:rPr>
      </w:pPr>
      <w:bookmarkStart w:id="3" w:name="_Toc70975295"/>
      <w:bookmarkStart w:id="4" w:name="_Toc75757238"/>
    </w:p>
    <w:p w14:paraId="15BCE417" w14:textId="1DBEF369" w:rsidR="00A80D5A" w:rsidRPr="0036101C" w:rsidRDefault="0036101C">
      <w:pPr>
        <w:pStyle w:val="Guidelines2"/>
      </w:pPr>
      <w:r w:rsidRPr="0036101C">
        <w:t>3. Mënyra e aplikimit dhe procedurat që duhen ndjekur</w:t>
      </w:r>
      <w:bookmarkEnd w:id="3"/>
    </w:p>
    <w:p w14:paraId="0A86F7F6" w14:textId="4A6692A1" w:rsidR="00A80D5A" w:rsidRPr="0036101C" w:rsidRDefault="0036101C">
      <w:pPr>
        <w:spacing w:before="120"/>
        <w:jc w:val="both"/>
        <w:rPr>
          <w:rStyle w:val="apple-converted-space"/>
          <w:rFonts w:ascii="Times New Roman" w:hAnsi="Times New Roman" w:cs="Times New Roman"/>
          <w:sz w:val="22"/>
          <w:shd w:val="clear" w:color="auto" w:fill="FFFFFF"/>
        </w:rPr>
      </w:pPr>
      <w:r w:rsidRPr="0036101C">
        <w:rPr>
          <w:rStyle w:val="apple-converted-space"/>
          <w:rFonts w:ascii="Times New Roman" w:hAnsi="Times New Roman" w:cs="Times New Roman"/>
          <w:sz w:val="22"/>
          <w:shd w:val="clear" w:color="auto" w:fill="FFFFFF"/>
        </w:rPr>
        <w:t>Për të aplikuar për këtë thirrje për mbështetje në nat</w:t>
      </w:r>
      <w:r w:rsidR="00360464">
        <w:rPr>
          <w:rStyle w:val="apple-converted-space"/>
          <w:rFonts w:ascii="Times New Roman" w:hAnsi="Times New Roman" w:cs="Times New Roman"/>
          <w:sz w:val="22"/>
          <w:shd w:val="clear" w:color="auto" w:fill="FFFFFF"/>
        </w:rPr>
        <w:t>y</w:t>
      </w:r>
      <w:r w:rsidRPr="0036101C">
        <w:rPr>
          <w:rStyle w:val="apple-converted-space"/>
          <w:rFonts w:ascii="Times New Roman" w:hAnsi="Times New Roman" w:cs="Times New Roman"/>
          <w:sz w:val="22"/>
          <w:shd w:val="clear" w:color="auto" w:fill="FFFFFF"/>
        </w:rPr>
        <w:t>rë, aplikantët duhet të plotësojnë formularin e aplikimit (</w:t>
      </w:r>
      <w:r w:rsidR="00130057">
        <w:rPr>
          <w:rStyle w:val="apple-converted-space"/>
          <w:rFonts w:ascii="Times New Roman" w:hAnsi="Times New Roman" w:cs="Times New Roman"/>
          <w:sz w:val="22"/>
          <w:shd w:val="clear" w:color="auto" w:fill="FFFFFF"/>
        </w:rPr>
        <w:t>Aneksi</w:t>
      </w:r>
      <w:r w:rsidR="00130057" w:rsidRPr="0036101C">
        <w:rPr>
          <w:rStyle w:val="apple-converted-space"/>
          <w:rFonts w:ascii="Times New Roman" w:hAnsi="Times New Roman" w:cs="Times New Roman"/>
          <w:sz w:val="22"/>
          <w:shd w:val="clear" w:color="auto" w:fill="FFFFFF"/>
        </w:rPr>
        <w:t xml:space="preserve"> </w:t>
      </w:r>
      <w:r w:rsidRPr="0036101C">
        <w:rPr>
          <w:rStyle w:val="apple-converted-space"/>
          <w:rFonts w:ascii="Times New Roman" w:hAnsi="Times New Roman" w:cs="Times New Roman"/>
          <w:sz w:val="22"/>
          <w:shd w:val="clear" w:color="auto" w:fill="FFFFFF"/>
        </w:rPr>
        <w:t>A) duke përfshirë buxhetin (</w:t>
      </w:r>
      <w:r w:rsidR="00130057">
        <w:rPr>
          <w:rStyle w:val="apple-converted-space"/>
          <w:rFonts w:ascii="Times New Roman" w:hAnsi="Times New Roman" w:cs="Times New Roman"/>
          <w:sz w:val="22"/>
          <w:shd w:val="clear" w:color="auto" w:fill="FFFFFF"/>
        </w:rPr>
        <w:t>Aneksi</w:t>
      </w:r>
      <w:r w:rsidR="00130057" w:rsidRPr="0036101C">
        <w:rPr>
          <w:rStyle w:val="apple-converted-space"/>
          <w:rFonts w:ascii="Times New Roman" w:hAnsi="Times New Roman" w:cs="Times New Roman"/>
          <w:sz w:val="22"/>
          <w:shd w:val="clear" w:color="auto" w:fill="FFFFFF"/>
        </w:rPr>
        <w:t xml:space="preserve"> </w:t>
      </w:r>
      <w:r w:rsidRPr="0036101C">
        <w:rPr>
          <w:rStyle w:val="apple-converted-space"/>
          <w:rFonts w:ascii="Times New Roman" w:hAnsi="Times New Roman" w:cs="Times New Roman"/>
          <w:sz w:val="22"/>
          <w:shd w:val="clear" w:color="auto" w:fill="FFFFFF"/>
        </w:rPr>
        <w:t xml:space="preserve">B) me justifikimin e buxhetit. </w:t>
      </w:r>
    </w:p>
    <w:p w14:paraId="76E35548" w14:textId="77777777" w:rsidR="00A80D5A" w:rsidRPr="0036101C" w:rsidRDefault="0036101C">
      <w:pPr>
        <w:spacing w:before="120"/>
        <w:jc w:val="both"/>
        <w:rPr>
          <w:rStyle w:val="apple-converted-space"/>
          <w:rFonts w:ascii="Times New Roman" w:hAnsi="Times New Roman" w:cs="Times New Roman"/>
          <w:sz w:val="22"/>
          <w:shd w:val="clear" w:color="auto" w:fill="FFFFFF"/>
        </w:rPr>
      </w:pPr>
      <w:r w:rsidRPr="0036101C">
        <w:rPr>
          <w:rStyle w:val="apple-converted-space"/>
          <w:rFonts w:ascii="Times New Roman" w:hAnsi="Times New Roman" w:cs="Times New Roman"/>
          <w:sz w:val="22"/>
          <w:shd w:val="clear" w:color="auto" w:fill="FFFFFF"/>
        </w:rPr>
        <w:t xml:space="preserve">Aplikantët duhet të aplikojnë në gjuhë angleze. </w:t>
      </w:r>
    </w:p>
    <w:p w14:paraId="0A4B9ED9" w14:textId="3361E410" w:rsidR="00A80D5A" w:rsidRPr="0036101C" w:rsidRDefault="0036101C">
      <w:pPr>
        <w:spacing w:before="120"/>
        <w:jc w:val="both"/>
        <w:rPr>
          <w:rStyle w:val="apple-converted-space"/>
          <w:rFonts w:ascii="Times New Roman" w:hAnsi="Times New Roman" w:cs="Times New Roman"/>
          <w:sz w:val="22"/>
          <w:shd w:val="clear" w:color="auto" w:fill="FFFFFF"/>
        </w:rPr>
      </w:pPr>
      <w:r w:rsidRPr="0036101C">
        <w:rPr>
          <w:rStyle w:val="apple-converted-space"/>
          <w:rFonts w:ascii="Times New Roman" w:hAnsi="Times New Roman" w:cs="Times New Roman"/>
          <w:sz w:val="22"/>
          <w:shd w:val="clear" w:color="auto" w:fill="FFFFFF"/>
        </w:rPr>
        <w:t>Do të vlerësohet vetëm formulari i aplikimit me buxhetin e propozuar. Prandaj, është me rëndësi të madhe që ky dokument të përmbajë TË GJITHË informacionin përkatës në lidhje me veprimin. Nuk duhet të dërgohen anekse shtesë.</w:t>
      </w:r>
    </w:p>
    <w:p w14:paraId="1219AFB2" w14:textId="77777777" w:rsidR="00A80D5A" w:rsidRPr="0036101C" w:rsidRDefault="0036101C">
      <w:pPr>
        <w:spacing w:before="120"/>
        <w:jc w:val="both"/>
        <w:rPr>
          <w:rStyle w:val="apple-converted-space"/>
          <w:rFonts w:ascii="Times New Roman" w:hAnsi="Times New Roman" w:cs="Times New Roman"/>
          <w:sz w:val="22"/>
          <w:shd w:val="clear" w:color="auto" w:fill="FFFFFF"/>
        </w:rPr>
      </w:pPr>
      <w:r w:rsidRPr="0036101C">
        <w:rPr>
          <w:rStyle w:val="apple-converted-space"/>
          <w:rFonts w:ascii="Times New Roman" w:hAnsi="Times New Roman" w:cs="Times New Roman"/>
          <w:sz w:val="22"/>
          <w:shd w:val="clear" w:color="auto" w:fill="FFFFFF"/>
        </w:rPr>
        <w:t xml:space="preserve">Formularët e aplikimit me shkrim dore nuk do të pranohen. </w:t>
      </w:r>
    </w:p>
    <w:p w14:paraId="7E75F05D" w14:textId="6D2294DD" w:rsidR="00A80D5A" w:rsidRPr="0036101C" w:rsidRDefault="0036101C">
      <w:pPr>
        <w:spacing w:before="120"/>
        <w:jc w:val="both"/>
        <w:rPr>
          <w:rStyle w:val="apple-converted-space"/>
          <w:rFonts w:ascii="Times New Roman" w:hAnsi="Times New Roman" w:cs="Times New Roman"/>
          <w:shd w:val="clear" w:color="auto" w:fill="FFFFFF"/>
        </w:rPr>
      </w:pPr>
      <w:r w:rsidRPr="0036101C">
        <w:rPr>
          <w:rStyle w:val="apple-converted-space"/>
          <w:rFonts w:ascii="Times New Roman" w:hAnsi="Times New Roman" w:cs="Times New Roman"/>
          <w:sz w:val="22"/>
          <w:shd w:val="clear" w:color="auto" w:fill="FFFFFF"/>
        </w:rPr>
        <w:t xml:space="preserve">Formulari i aplikimit duhet të dorëzohet online përmes ueb-faqes www.EU4CR.mk </w:t>
      </w:r>
      <w:hyperlink r:id="rId11"/>
      <w:r w:rsidRPr="0036101C">
        <w:rPr>
          <w:rStyle w:val="InternetLink"/>
          <w:rFonts w:ascii="Times New Roman" w:hAnsi="Times New Roman" w:cs="Times New Roman"/>
          <w:color w:val="auto"/>
          <w:sz w:val="22"/>
          <w:u w:val="none"/>
        </w:rPr>
        <w:t xml:space="preserve"> pas plotësimit të formularit të përgjithshëm online. </w:t>
      </w:r>
      <w:r w:rsidRPr="0036101C">
        <w:rPr>
          <w:rStyle w:val="apple-converted-space"/>
          <w:rFonts w:ascii="Times New Roman" w:hAnsi="Times New Roman" w:cs="Times New Roman"/>
          <w:shd w:val="clear" w:color="auto" w:fill="FFFFFF"/>
        </w:rPr>
        <w:t xml:space="preserve"> </w:t>
      </w:r>
    </w:p>
    <w:p w14:paraId="0D93228A" w14:textId="77777777" w:rsidR="00A80D5A" w:rsidRPr="0036101C" w:rsidRDefault="0036101C">
      <w:pPr>
        <w:pStyle w:val="Default"/>
        <w:spacing w:before="120"/>
        <w:jc w:val="both"/>
        <w:rPr>
          <w:rStyle w:val="apple-converted-space"/>
          <w:color w:val="auto"/>
          <w:sz w:val="22"/>
          <w:shd w:val="clear" w:color="auto" w:fill="FFFFFF"/>
        </w:rPr>
      </w:pPr>
      <w:r w:rsidRPr="0036101C">
        <w:rPr>
          <w:rStyle w:val="apple-converted-space"/>
          <w:color w:val="auto"/>
          <w:sz w:val="22"/>
          <w:shd w:val="clear" w:color="auto" w:fill="FFFFFF"/>
        </w:rPr>
        <w:t xml:space="preserve">Pas dorëzimit të formularit të aplikimit online, aplikanti do të marrë një konfirmim automatik për pranim. </w:t>
      </w:r>
    </w:p>
    <w:p w14:paraId="111663AD" w14:textId="77777777" w:rsidR="00A80D5A" w:rsidRPr="0036101C" w:rsidRDefault="0036101C">
      <w:pPr>
        <w:pStyle w:val="Default"/>
        <w:spacing w:before="120"/>
        <w:jc w:val="both"/>
        <w:rPr>
          <w:rStyle w:val="apple-converted-space"/>
          <w:color w:val="auto"/>
          <w:sz w:val="22"/>
          <w:shd w:val="clear" w:color="auto" w:fill="FFFFFF"/>
        </w:rPr>
      </w:pPr>
      <w:r w:rsidRPr="0036101C">
        <w:rPr>
          <w:rStyle w:val="apple-converted-space"/>
          <w:b/>
          <w:color w:val="auto"/>
          <w:sz w:val="22"/>
          <w:shd w:val="clear" w:color="auto" w:fill="FFFFFF"/>
        </w:rPr>
        <w:t>Ju lutemi të keni parasysh se formularët e aplikimit të pa plotësuar mund të refuzohen</w:t>
      </w:r>
      <w:r w:rsidRPr="0036101C">
        <w:rPr>
          <w:rStyle w:val="apple-converted-space"/>
          <w:color w:val="auto"/>
          <w:sz w:val="22"/>
          <w:shd w:val="clear" w:color="auto" w:fill="FFFFFF"/>
        </w:rPr>
        <w:t>. Aplikantët këshillohen të verifikojnë që formulari i tyre i aplikimit është plotësuar duke përdorur listën e kontrollit për formularët e aplikimit (Aneksi A.3).</w:t>
      </w:r>
      <w:r w:rsidRPr="0036101C">
        <w:rPr>
          <w:rStyle w:val="apple-converted-space"/>
          <w:color w:val="auto"/>
          <w:shd w:val="clear" w:color="auto" w:fill="FFFFFF"/>
        </w:rPr>
        <w:t xml:space="preserve"> </w:t>
      </w:r>
      <w:r w:rsidRPr="0036101C">
        <w:rPr>
          <w:rStyle w:val="apple-converted-space"/>
          <w:color w:val="auto"/>
          <w:sz w:val="22"/>
          <w:shd w:val="clear" w:color="auto" w:fill="FFFFFF"/>
        </w:rPr>
        <w:t xml:space="preserve"> </w:t>
      </w:r>
    </w:p>
    <w:p w14:paraId="02192200" w14:textId="72A5766F" w:rsidR="00A80D5A" w:rsidRPr="0036101C" w:rsidRDefault="0036101C">
      <w:pPr>
        <w:spacing w:before="120"/>
        <w:jc w:val="both"/>
        <w:rPr>
          <w:rFonts w:ascii="Times New Roman" w:hAnsi="Times New Roman" w:cs="Times New Roman"/>
          <w:sz w:val="22"/>
        </w:rPr>
      </w:pPr>
      <w:r w:rsidRPr="0036101C">
        <w:rPr>
          <w:rFonts w:ascii="Times New Roman" w:hAnsi="Times New Roman" w:cs="Times New Roman"/>
          <w:sz w:val="22"/>
        </w:rPr>
        <w:t xml:space="preserve">Aplikantët e mundshëm këshillohen të kontrollojnë dokumentet dhe procedurat e zbatimit </w:t>
      </w:r>
      <w:r w:rsidRPr="0036101C">
        <w:rPr>
          <w:rFonts w:ascii="Times New Roman" w:hAnsi="Times New Roman" w:cs="Times New Roman"/>
          <w:i/>
          <w:sz w:val="22"/>
          <w:u w:val="single"/>
        </w:rPr>
        <w:t>para se</w:t>
      </w:r>
      <w:r w:rsidRPr="0036101C">
        <w:rPr>
          <w:rFonts w:ascii="Times New Roman" w:hAnsi="Times New Roman" w:cs="Times New Roman"/>
          <w:sz w:val="22"/>
        </w:rPr>
        <w:t xml:space="preserve"> të kërkojnë mbështetje, në mënyrë që të informohen në mënyrë përkatëse për kërkesat e aplikimit. Për këtë qëllim, konsultoni Udhëzimet për implementim dhe anekset e tij (Aneksi C) të qasshme në </w:t>
      </w:r>
      <w:hyperlink r:id="rId12">
        <w:r w:rsidRPr="0036101C">
          <w:rPr>
            <w:rStyle w:val="InternetLink"/>
            <w:rFonts w:ascii="Times New Roman" w:hAnsi="Times New Roman" w:cs="Times New Roman"/>
            <w:color w:val="auto"/>
            <w:sz w:val="22"/>
          </w:rPr>
          <w:t>www.EU4CR.mk</w:t>
        </w:r>
      </w:hyperlink>
      <w:r w:rsidRPr="0036101C">
        <w:rPr>
          <w:rStyle w:val="InternetLink"/>
          <w:rFonts w:ascii="Times New Roman" w:hAnsi="Times New Roman" w:cs="Times New Roman"/>
          <w:color w:val="auto"/>
          <w:sz w:val="22"/>
        </w:rPr>
        <w:t>.</w:t>
      </w:r>
    </w:p>
    <w:p w14:paraId="193A186B" w14:textId="77777777" w:rsidR="00A80D5A" w:rsidRPr="0036101C" w:rsidRDefault="00A80D5A">
      <w:pPr>
        <w:pStyle w:val="Default"/>
        <w:spacing w:before="120"/>
        <w:jc w:val="both"/>
        <w:rPr>
          <w:rStyle w:val="apple-converted-space"/>
          <w:color w:val="auto"/>
          <w:sz w:val="22"/>
          <w:shd w:val="clear" w:color="auto" w:fill="FFFFFF"/>
        </w:rPr>
      </w:pPr>
    </w:p>
    <w:p w14:paraId="64C7801C" w14:textId="77777777" w:rsidR="00A80D5A" w:rsidRPr="0036101C" w:rsidRDefault="0036101C">
      <w:pPr>
        <w:pStyle w:val="NormalWeb"/>
        <w:spacing w:beforeAutospacing="0" w:afterAutospacing="0"/>
        <w:jc w:val="both"/>
        <w:rPr>
          <w:rStyle w:val="apple-converted-space"/>
          <w:rFonts w:eastAsiaTheme="minorEastAsia"/>
          <w:i/>
          <w:u w:val="single"/>
          <w:shd w:val="clear" w:color="auto" w:fill="FFFFFF"/>
        </w:rPr>
      </w:pPr>
      <w:r w:rsidRPr="0036101C">
        <w:rPr>
          <w:rStyle w:val="apple-converted-space"/>
          <w:rFonts w:eastAsiaTheme="minorEastAsia"/>
          <w:i/>
          <w:u w:val="single"/>
          <w:shd w:val="clear" w:color="auto" w:fill="FFFFFF"/>
        </w:rPr>
        <w:t>Afati i dorëzimit të formularëve të aplikimit</w:t>
      </w:r>
    </w:p>
    <w:p w14:paraId="5ADAB20D" w14:textId="0881E1B1" w:rsidR="00A80D5A" w:rsidRPr="0036101C" w:rsidRDefault="00727709">
      <w:pPr>
        <w:pStyle w:val="P68B1DB1-Normal7"/>
        <w:spacing w:before="120"/>
        <w:jc w:val="both"/>
      </w:pPr>
      <w:r>
        <w:t>Afati i fundit p</w:t>
      </w:r>
      <w:r w:rsidRPr="0036101C">
        <w:t>ë</w:t>
      </w:r>
      <w:r>
        <w:t>r aplikim p</w:t>
      </w:r>
      <w:r w:rsidRPr="0036101C">
        <w:t>ë</w:t>
      </w:r>
      <w:r>
        <w:t>r k</w:t>
      </w:r>
      <w:r w:rsidRPr="0036101C">
        <w:t>ë</w:t>
      </w:r>
      <w:r>
        <w:t>t</w:t>
      </w:r>
      <w:r w:rsidRPr="0036101C">
        <w:t>ë</w:t>
      </w:r>
      <w:r w:rsidR="0036101C" w:rsidRPr="0036101C">
        <w:t xml:space="preserve"> thirrje për mbështetje në nat</w:t>
      </w:r>
      <w:r w:rsidR="00DE3287">
        <w:t>y</w:t>
      </w:r>
      <w:r w:rsidR="0036101C" w:rsidRPr="0036101C">
        <w:t xml:space="preserve">rë </w:t>
      </w:r>
      <w:r w:rsidRPr="0036101C">
        <w:t>ë</w:t>
      </w:r>
      <w:r>
        <w:t>sht</w:t>
      </w:r>
      <w:r w:rsidRPr="0036101C">
        <w:t>ë</w:t>
      </w:r>
      <w:r w:rsidR="0036101C" w:rsidRPr="0036101C">
        <w:t>:</w:t>
      </w:r>
    </w:p>
    <w:p w14:paraId="5C74AA98" w14:textId="429097BC" w:rsidR="00A80D5A" w:rsidRPr="00727709" w:rsidRDefault="00727709">
      <w:pPr>
        <w:pStyle w:val="P68B1DB1-ListParagraph6"/>
        <w:numPr>
          <w:ilvl w:val="0"/>
          <w:numId w:val="20"/>
        </w:numPr>
        <w:spacing w:before="120"/>
        <w:jc w:val="both"/>
        <w:rPr>
          <w:highlight w:val="none"/>
        </w:rPr>
      </w:pPr>
      <w:r>
        <w:rPr>
          <w:highlight w:val="none"/>
        </w:rPr>
        <w:t>15</w:t>
      </w:r>
      <w:r w:rsidR="00A813D6" w:rsidRPr="00727709">
        <w:rPr>
          <w:highlight w:val="none"/>
        </w:rPr>
        <w:t xml:space="preserve"> </w:t>
      </w:r>
      <w:r>
        <w:rPr>
          <w:highlight w:val="none"/>
        </w:rPr>
        <w:t>n</w:t>
      </w:r>
      <w:r w:rsidRPr="00727709">
        <w:rPr>
          <w:highlight w:val="none"/>
        </w:rPr>
        <w:t>ën</w:t>
      </w:r>
      <w:r>
        <w:rPr>
          <w:highlight w:val="none"/>
        </w:rPr>
        <w:t>tor</w:t>
      </w:r>
      <w:r w:rsidR="0036101C" w:rsidRPr="00727709">
        <w:rPr>
          <w:highlight w:val="none"/>
        </w:rPr>
        <w:t xml:space="preserve"> 2022 në orën 17:00 (ora lokale) </w:t>
      </w:r>
    </w:p>
    <w:p w14:paraId="7691359A" w14:textId="50BD6FAB" w:rsidR="00A80D5A" w:rsidRPr="0036101C" w:rsidRDefault="00A80D5A">
      <w:pPr>
        <w:spacing w:before="120"/>
        <w:jc w:val="both"/>
        <w:rPr>
          <w:rStyle w:val="apple-converted-space"/>
          <w:rFonts w:ascii="Times New Roman" w:hAnsi="Times New Roman" w:cs="Times New Roman"/>
          <w:b/>
          <w:sz w:val="22"/>
          <w:shd w:val="clear" w:color="auto" w:fill="FFFFFF"/>
        </w:rPr>
      </w:pPr>
    </w:p>
    <w:p w14:paraId="297A15F2" w14:textId="77777777" w:rsidR="00A80D5A" w:rsidRPr="0036101C" w:rsidRDefault="00A80D5A">
      <w:pPr>
        <w:jc w:val="both"/>
        <w:rPr>
          <w:rStyle w:val="apple-converted-space"/>
          <w:rFonts w:ascii="Times New Roman" w:hAnsi="Times New Roman" w:cs="Times New Roman"/>
          <w:sz w:val="22"/>
          <w:highlight w:val="white"/>
        </w:rPr>
      </w:pPr>
    </w:p>
    <w:p w14:paraId="4BA8A640" w14:textId="77777777" w:rsidR="00A80D5A" w:rsidRPr="0036101C" w:rsidRDefault="0036101C">
      <w:pPr>
        <w:pStyle w:val="NormalWeb"/>
        <w:spacing w:beforeAutospacing="0" w:afterAutospacing="0"/>
        <w:jc w:val="both"/>
        <w:rPr>
          <w:rStyle w:val="apple-converted-space"/>
          <w:rFonts w:eastAsiaTheme="minorEastAsia"/>
          <w:i/>
          <w:u w:val="single"/>
          <w:shd w:val="clear" w:color="auto" w:fill="FFFFFF"/>
        </w:rPr>
      </w:pPr>
      <w:r w:rsidRPr="0036101C">
        <w:rPr>
          <w:rStyle w:val="apple-converted-space"/>
          <w:rFonts w:eastAsiaTheme="minorEastAsia"/>
          <w:i/>
          <w:u w:val="single"/>
          <w:shd w:val="clear" w:color="auto" w:fill="FFFFFF"/>
        </w:rPr>
        <w:t>Informata plotësuese</w:t>
      </w:r>
    </w:p>
    <w:p w14:paraId="0D348D2A" w14:textId="2A7E0445" w:rsidR="00A80D5A" w:rsidRPr="0036101C" w:rsidRDefault="0036101C">
      <w:pPr>
        <w:jc w:val="both"/>
        <w:rPr>
          <w:rStyle w:val="InternetLink"/>
          <w:rFonts w:ascii="Times New Roman" w:hAnsi="Times New Roman" w:cs="Times New Roman"/>
          <w:color w:val="auto"/>
          <w:sz w:val="22"/>
        </w:rPr>
      </w:pPr>
      <w:r w:rsidRPr="0036101C">
        <w:rPr>
          <w:rStyle w:val="apple-converted-space"/>
          <w:rFonts w:ascii="Times New Roman" w:hAnsi="Times New Roman" w:cs="Times New Roman"/>
          <w:sz w:val="22"/>
          <w:highlight w:val="white"/>
        </w:rPr>
        <w:t>Sesionet informuese për këtë thirrje për mbështetje në nat</w:t>
      </w:r>
      <w:r w:rsidR="00DE3287">
        <w:rPr>
          <w:rStyle w:val="apple-converted-space"/>
          <w:rFonts w:ascii="Times New Roman" w:hAnsi="Times New Roman" w:cs="Times New Roman"/>
          <w:sz w:val="22"/>
          <w:highlight w:val="white"/>
        </w:rPr>
        <w:t>y</w:t>
      </w:r>
      <w:r w:rsidRPr="0036101C">
        <w:rPr>
          <w:rStyle w:val="apple-converted-space"/>
          <w:rFonts w:ascii="Times New Roman" w:hAnsi="Times New Roman" w:cs="Times New Roman"/>
          <w:sz w:val="22"/>
          <w:highlight w:val="white"/>
        </w:rPr>
        <w:t xml:space="preserve">rë do të organizohen në </w:t>
      </w:r>
      <w:r w:rsidR="00727709">
        <w:rPr>
          <w:rStyle w:val="apple-converted-space"/>
          <w:rFonts w:ascii="Times New Roman" w:hAnsi="Times New Roman" w:cs="Times New Roman"/>
          <w:sz w:val="22"/>
        </w:rPr>
        <w:t>shtator-tetor</w:t>
      </w:r>
      <w:r w:rsidRPr="00727709">
        <w:rPr>
          <w:rStyle w:val="apple-converted-space"/>
          <w:rFonts w:ascii="Times New Roman" w:hAnsi="Times New Roman" w:cs="Times New Roman"/>
          <w:sz w:val="22"/>
        </w:rPr>
        <w:t xml:space="preserve"> 2022</w:t>
      </w:r>
      <w:r w:rsidRPr="0036101C">
        <w:rPr>
          <w:rStyle w:val="apple-converted-space"/>
          <w:rFonts w:ascii="Times New Roman" w:hAnsi="Times New Roman" w:cs="Times New Roman"/>
          <w:sz w:val="22"/>
          <w:highlight w:val="white"/>
        </w:rPr>
        <w:t xml:space="preserve">. Detajet rreth këtyre sesioneve informative do të publikohen në </w:t>
      </w:r>
      <w:hyperlink r:id="rId13">
        <w:r w:rsidRPr="0036101C">
          <w:rPr>
            <w:rStyle w:val="InternetLink"/>
            <w:rFonts w:ascii="Times New Roman" w:hAnsi="Times New Roman" w:cs="Times New Roman"/>
            <w:color w:val="auto"/>
            <w:sz w:val="22"/>
          </w:rPr>
          <w:t>www.EU4CR.mk</w:t>
        </w:r>
      </w:hyperlink>
      <w:r w:rsidRPr="0036101C">
        <w:rPr>
          <w:rStyle w:val="InternetLink"/>
          <w:rFonts w:ascii="Times New Roman" w:hAnsi="Times New Roman" w:cs="Times New Roman"/>
          <w:color w:val="auto"/>
          <w:sz w:val="22"/>
        </w:rPr>
        <w:t xml:space="preserve">. </w:t>
      </w:r>
    </w:p>
    <w:p w14:paraId="34184B11" w14:textId="77777777" w:rsidR="00A80D5A" w:rsidRPr="0036101C" w:rsidRDefault="00A80D5A">
      <w:pPr>
        <w:jc w:val="both"/>
        <w:rPr>
          <w:rStyle w:val="InternetLink"/>
          <w:rFonts w:ascii="Times New Roman" w:hAnsi="Times New Roman" w:cs="Times New Roman"/>
          <w:color w:val="auto"/>
          <w:sz w:val="22"/>
        </w:rPr>
      </w:pPr>
    </w:p>
    <w:p w14:paraId="2304979B" w14:textId="77777777" w:rsidR="00A80D5A" w:rsidRPr="0036101C" w:rsidRDefault="0036101C">
      <w:pPr>
        <w:jc w:val="both"/>
        <w:rPr>
          <w:rStyle w:val="apple-converted-space"/>
          <w:rFonts w:ascii="Times New Roman" w:hAnsi="Times New Roman" w:cs="Times New Roman"/>
          <w:sz w:val="22"/>
          <w:highlight w:val="white"/>
        </w:rPr>
      </w:pPr>
      <w:r w:rsidRPr="0036101C">
        <w:rPr>
          <w:rStyle w:val="InternetLink"/>
          <w:rFonts w:ascii="Times New Roman" w:hAnsi="Times New Roman" w:cs="Times New Roman"/>
          <w:color w:val="auto"/>
          <w:sz w:val="22"/>
          <w:u w:val="none"/>
        </w:rPr>
        <w:t xml:space="preserve">Pyetjet mund të dërgohen me e-mail në helpdesk në: </w:t>
      </w:r>
      <w:hyperlink r:id="rId14" w:history="1">
        <w:r w:rsidRPr="00727709">
          <w:rPr>
            <w:rStyle w:val="InternetLink"/>
            <w:rFonts w:ascii="Times New Roman" w:hAnsi="Times New Roman" w:cs="Times New Roman"/>
            <w:color w:val="auto"/>
            <w:sz w:val="22"/>
            <w:u w:val="none"/>
          </w:rPr>
          <w:t>crm-helpdesk@eu4cr.mk</w:t>
        </w:r>
      </w:hyperlink>
      <w:r w:rsidRPr="00727709">
        <w:rPr>
          <w:rStyle w:val="InternetLink"/>
          <w:color w:val="auto"/>
          <w:sz w:val="22"/>
          <w:u w:val="none"/>
        </w:rPr>
        <w:t>.</w:t>
      </w:r>
      <w:r w:rsidRPr="0036101C">
        <w:rPr>
          <w:rStyle w:val="Strong"/>
          <w:b w:val="0"/>
        </w:rPr>
        <w:t xml:space="preserve"> </w:t>
      </w:r>
      <w:r w:rsidRPr="0036101C">
        <w:rPr>
          <w:rStyle w:val="apple-converted-space"/>
          <w:rFonts w:ascii="Times New Roman" w:hAnsi="Times New Roman" w:cs="Times New Roman"/>
          <w:sz w:val="22"/>
          <w:highlight w:val="white"/>
        </w:rPr>
        <w:t>Të gjitha pyetjet me përgjigje do të publikohen në www.EU4CR.mk</w:t>
      </w:r>
      <w:hyperlink r:id="rId15">
        <w:r w:rsidRPr="0036101C">
          <w:rPr>
            <w:rStyle w:val="InternetLink"/>
            <w:rFonts w:ascii="Times New Roman" w:hAnsi="Times New Roman" w:cs="Times New Roman"/>
            <w:color w:val="auto"/>
            <w:sz w:val="22"/>
          </w:rPr>
          <w:t>,</w:t>
        </w:r>
      </w:hyperlink>
      <w:r w:rsidRPr="0036101C">
        <w:rPr>
          <w:rStyle w:val="apple-converted-space"/>
          <w:rFonts w:ascii="Times New Roman" w:hAnsi="Times New Roman" w:cs="Times New Roman"/>
          <w:sz w:val="22"/>
          <w:highlight w:val="white"/>
        </w:rPr>
        <w:t xml:space="preserve"> nën seksionin Pyetjet më të shpeshta.</w:t>
      </w:r>
      <w:r w:rsidRPr="0036101C">
        <w:rPr>
          <w:rStyle w:val="Strong"/>
        </w:rPr>
        <w:t xml:space="preserve"> </w:t>
      </w:r>
    </w:p>
    <w:p w14:paraId="13A91D73" w14:textId="77777777" w:rsidR="00A80D5A" w:rsidRPr="0036101C" w:rsidRDefault="00A80D5A">
      <w:pPr>
        <w:rPr>
          <w:rFonts w:ascii="Times New Roman" w:hAnsi="Times New Roman" w:cs="Times New Roman"/>
          <w:b/>
          <w:sz w:val="22"/>
        </w:rPr>
      </w:pPr>
    </w:p>
    <w:p w14:paraId="0A1F8064" w14:textId="30ADFC90" w:rsidR="00A80D5A" w:rsidRPr="0036101C" w:rsidRDefault="0036101C">
      <w:pPr>
        <w:pStyle w:val="Guidelines2"/>
      </w:pPr>
      <w:bookmarkStart w:id="5" w:name="_Toc40507653"/>
      <w:bookmarkStart w:id="6" w:name="_Toc70975304"/>
      <w:r w:rsidRPr="0036101C">
        <w:t>4. Vlerësimi dhe përzgjedhja e aplikacioneve</w:t>
      </w:r>
      <w:bookmarkEnd w:id="5"/>
      <w:bookmarkEnd w:id="6"/>
    </w:p>
    <w:p w14:paraId="428159C1" w14:textId="77777777" w:rsidR="00A80D5A" w:rsidRPr="0036101C" w:rsidRDefault="0036101C">
      <w:pPr>
        <w:jc w:val="both"/>
        <w:rPr>
          <w:rStyle w:val="InternetLink"/>
          <w:rFonts w:ascii="Times New Roman" w:hAnsi="Times New Roman" w:cs="Times New Roman"/>
          <w:color w:val="auto"/>
          <w:sz w:val="22"/>
          <w:u w:val="none"/>
        </w:rPr>
      </w:pPr>
      <w:r w:rsidRPr="0036101C">
        <w:rPr>
          <w:rStyle w:val="InternetLink"/>
          <w:rFonts w:ascii="Times New Roman" w:hAnsi="Times New Roman" w:cs="Times New Roman"/>
          <w:color w:val="auto"/>
          <w:sz w:val="22"/>
          <w:u w:val="none"/>
        </w:rPr>
        <w:t>Aplikimet do të shqyrtohen dhe vlerësohen nga autoriteti kontraktues me ndihmën e vlerësuesve. Të gjitha aplikimet do të vlerësohen sipas hapave dhe kritereve të mëposhtme:</w:t>
      </w:r>
    </w:p>
    <w:p w14:paraId="775D0692" w14:textId="77777777" w:rsidR="00A80D5A" w:rsidRPr="0036101C" w:rsidRDefault="00A80D5A">
      <w:pPr>
        <w:jc w:val="both"/>
        <w:rPr>
          <w:rStyle w:val="InternetLink"/>
          <w:rFonts w:ascii="Times New Roman" w:hAnsi="Times New Roman" w:cs="Times New Roman"/>
          <w:color w:val="auto"/>
          <w:sz w:val="22"/>
          <w:u w:val="none"/>
        </w:rPr>
      </w:pPr>
    </w:p>
    <w:p w14:paraId="46D1F77D" w14:textId="6A48DDE1" w:rsidR="00A80D5A" w:rsidRPr="0036101C" w:rsidRDefault="0036101C">
      <w:pPr>
        <w:pStyle w:val="ListParagraph"/>
        <w:numPr>
          <w:ilvl w:val="0"/>
          <w:numId w:val="29"/>
        </w:numPr>
        <w:ind w:left="851" w:hanging="425"/>
        <w:rPr>
          <w:rStyle w:val="InternetLink"/>
          <w:rFonts w:ascii="Times New Roman" w:hAnsi="Times New Roman" w:cs="Times New Roman"/>
          <w:b/>
          <w:smallCaps/>
          <w:color w:val="auto"/>
          <w:sz w:val="22"/>
          <w:u w:val="none"/>
        </w:rPr>
      </w:pPr>
      <w:r w:rsidRPr="0036101C">
        <w:rPr>
          <w:rStyle w:val="InternetLink"/>
          <w:rFonts w:ascii="Times New Roman" w:hAnsi="Times New Roman" w:cs="Times New Roman"/>
          <w:color w:val="auto"/>
          <w:sz w:val="22"/>
          <w:u w:val="none"/>
        </w:rPr>
        <w:t>Nëse shqyrtimi i aplikimit zbulon se veprimi i propozuar nuk përmbush kriteret e përshtatshmërisë të deklaruara në rrjetin e vlerësimit (</w:t>
      </w:r>
      <w:r w:rsidR="00130057">
        <w:rPr>
          <w:rStyle w:val="InternetLink"/>
          <w:rFonts w:ascii="Times New Roman" w:hAnsi="Times New Roman" w:cs="Times New Roman"/>
          <w:color w:val="auto"/>
          <w:sz w:val="22"/>
          <w:u w:val="none"/>
        </w:rPr>
        <w:t>Aneksi</w:t>
      </w:r>
      <w:r w:rsidR="00130057" w:rsidRPr="0036101C">
        <w:rPr>
          <w:rStyle w:val="InternetLink"/>
          <w:rFonts w:ascii="Times New Roman" w:hAnsi="Times New Roman" w:cs="Times New Roman"/>
          <w:color w:val="auto"/>
          <w:sz w:val="22"/>
          <w:u w:val="none"/>
        </w:rPr>
        <w:t xml:space="preserve"> </w:t>
      </w:r>
      <w:r w:rsidRPr="0036101C">
        <w:rPr>
          <w:rStyle w:val="InternetLink"/>
          <w:rFonts w:ascii="Times New Roman" w:hAnsi="Times New Roman" w:cs="Times New Roman"/>
          <w:color w:val="auto"/>
          <w:sz w:val="22"/>
          <w:u w:val="none"/>
        </w:rPr>
        <w:t xml:space="preserve">D), aplikimi do të refuzohet mbi këtë bazë të vetme. </w:t>
      </w:r>
    </w:p>
    <w:bookmarkEnd w:id="4"/>
    <w:p w14:paraId="1E22B068" w14:textId="357A709A" w:rsidR="00A80D5A" w:rsidRPr="0036101C" w:rsidRDefault="0036101C">
      <w:pPr>
        <w:pStyle w:val="ListParagraph"/>
        <w:numPr>
          <w:ilvl w:val="0"/>
          <w:numId w:val="29"/>
        </w:numPr>
        <w:ind w:left="864" w:hanging="432"/>
        <w:contextualSpacing w:val="0"/>
        <w:rPr>
          <w:rStyle w:val="InternetLink"/>
          <w:rFonts w:ascii="Times New Roman" w:hAnsi="Times New Roman" w:cs="Times New Roman"/>
          <w:color w:val="auto"/>
          <w:sz w:val="22"/>
          <w:u w:val="none"/>
        </w:rPr>
      </w:pPr>
      <w:r w:rsidRPr="0036101C">
        <w:rPr>
          <w:rStyle w:val="InternetLink"/>
          <w:rFonts w:ascii="Times New Roman" w:hAnsi="Times New Roman" w:cs="Times New Roman"/>
          <w:color w:val="auto"/>
          <w:sz w:val="22"/>
          <w:u w:val="none"/>
        </w:rPr>
        <w:t>Bazuar në kriteret e pajtueshmërisë nga rrjeti i vlerësimit (</w:t>
      </w:r>
      <w:r w:rsidR="00130057">
        <w:rPr>
          <w:rStyle w:val="InternetLink"/>
          <w:rFonts w:ascii="Times New Roman" w:hAnsi="Times New Roman" w:cs="Times New Roman"/>
          <w:color w:val="auto"/>
          <w:sz w:val="22"/>
          <w:u w:val="none"/>
        </w:rPr>
        <w:t>Aneksi</w:t>
      </w:r>
      <w:r w:rsidR="00130057" w:rsidRPr="0036101C">
        <w:rPr>
          <w:rStyle w:val="InternetLink"/>
          <w:rFonts w:ascii="Times New Roman" w:hAnsi="Times New Roman" w:cs="Times New Roman"/>
          <w:color w:val="auto"/>
          <w:sz w:val="22"/>
          <w:u w:val="none"/>
        </w:rPr>
        <w:t xml:space="preserve"> </w:t>
      </w:r>
      <w:r w:rsidRPr="0036101C">
        <w:rPr>
          <w:rStyle w:val="InternetLink"/>
          <w:rFonts w:ascii="Times New Roman" w:hAnsi="Times New Roman" w:cs="Times New Roman"/>
          <w:color w:val="auto"/>
          <w:sz w:val="22"/>
          <w:u w:val="none"/>
        </w:rPr>
        <w:t xml:space="preserve">D), veprimi do të vlerësohet si i rekomanduar për mbështetje ose jo. </w:t>
      </w:r>
    </w:p>
    <w:p w14:paraId="33D64F3B" w14:textId="353E8D60" w:rsidR="00A80D5A" w:rsidRPr="0036101C" w:rsidRDefault="0036101C">
      <w:pPr>
        <w:spacing w:before="100" w:beforeAutospacing="1" w:after="100" w:afterAutospacing="1"/>
        <w:jc w:val="both"/>
        <w:rPr>
          <w:rStyle w:val="InternetLink"/>
          <w:rFonts w:ascii="Times New Roman" w:hAnsi="Times New Roman" w:cs="Times New Roman"/>
          <w:color w:val="auto"/>
          <w:sz w:val="22"/>
          <w:u w:val="none"/>
        </w:rPr>
      </w:pPr>
      <w:r w:rsidRPr="0036101C">
        <w:rPr>
          <w:rStyle w:val="InternetLink"/>
          <w:rFonts w:ascii="Times New Roman" w:hAnsi="Times New Roman" w:cs="Times New Roman"/>
          <w:color w:val="auto"/>
          <w:sz w:val="22"/>
          <w:u w:val="none"/>
        </w:rPr>
        <w:lastRenderedPageBreak/>
        <w:t>Verifikimi i përshtatshmërisë do të kryhet në bazë të dokumenteve mbështetëse të kërkuara nga autoriteti kontraktues. Ai do të kryhet në mënyrë të paracaktuar vetëm për aplikimet që janë zgjedhur përkohësisht sipas rezultatit të tyre dhe brenda buxhetit në dispozicion për këtë thirrje për mbështetje në nat</w:t>
      </w:r>
      <w:r w:rsidR="00DE3287">
        <w:rPr>
          <w:rStyle w:val="InternetLink"/>
          <w:rFonts w:ascii="Times New Roman" w:hAnsi="Times New Roman" w:cs="Times New Roman"/>
          <w:color w:val="auto"/>
          <w:sz w:val="22"/>
          <w:u w:val="none"/>
        </w:rPr>
        <w:t>y</w:t>
      </w:r>
      <w:r w:rsidRPr="0036101C">
        <w:rPr>
          <w:rStyle w:val="InternetLink"/>
          <w:rFonts w:ascii="Times New Roman" w:hAnsi="Times New Roman" w:cs="Times New Roman"/>
          <w:color w:val="auto"/>
          <w:sz w:val="22"/>
          <w:u w:val="none"/>
        </w:rPr>
        <w:t>rë. Do të kërkohen dokumentet mbështetëse në kopje, si më poshtë:</w:t>
      </w:r>
    </w:p>
    <w:p w14:paraId="3FAA5CB5" w14:textId="1A2C1EC8" w:rsidR="00A80D5A" w:rsidRPr="0036101C" w:rsidRDefault="0036101C">
      <w:pPr>
        <w:pStyle w:val="ListParagraph"/>
        <w:numPr>
          <w:ilvl w:val="0"/>
          <w:numId w:val="20"/>
        </w:numPr>
        <w:ind w:left="418"/>
        <w:contextualSpacing w:val="0"/>
        <w:jc w:val="both"/>
        <w:rPr>
          <w:rStyle w:val="Heading3Char"/>
          <w:rFonts w:ascii="Times New Roman" w:eastAsiaTheme="minorEastAsia" w:hAnsi="Times New Roman" w:cs="Times New Roman"/>
          <w:color w:val="auto"/>
          <w:sz w:val="22"/>
        </w:rPr>
      </w:pPr>
      <w:r w:rsidRPr="0036101C">
        <w:rPr>
          <w:rStyle w:val="InternetLink"/>
          <w:rFonts w:ascii="Times New Roman" w:hAnsi="Times New Roman" w:cs="Times New Roman"/>
          <w:color w:val="auto"/>
          <w:sz w:val="22"/>
          <w:u w:val="none"/>
        </w:rPr>
        <w:t>Statuti ose statuti i aplikantit;</w:t>
      </w:r>
      <w:r w:rsidRPr="0036101C">
        <w:rPr>
          <w:rStyle w:val="Heading3Char"/>
          <w:rFonts w:ascii="Times New Roman" w:hAnsi="Times New Roman" w:cs="Times New Roman"/>
          <w:color w:val="auto"/>
          <w:sz w:val="22"/>
        </w:rPr>
        <w:t xml:space="preserve"> </w:t>
      </w:r>
    </w:p>
    <w:p w14:paraId="05B3502B" w14:textId="77777777" w:rsidR="00A80D5A" w:rsidRPr="0036101C" w:rsidRDefault="0036101C">
      <w:pPr>
        <w:pStyle w:val="ListParagraph"/>
        <w:numPr>
          <w:ilvl w:val="0"/>
          <w:numId w:val="20"/>
        </w:numPr>
        <w:ind w:left="418"/>
        <w:contextualSpacing w:val="0"/>
        <w:jc w:val="both"/>
        <w:rPr>
          <w:rStyle w:val="InternetLink"/>
          <w:rFonts w:ascii="Times New Roman" w:hAnsi="Times New Roman" w:cs="Times New Roman"/>
          <w:color w:val="auto"/>
          <w:sz w:val="22"/>
          <w:u w:val="none"/>
        </w:rPr>
      </w:pPr>
      <w:r w:rsidRPr="0036101C">
        <w:rPr>
          <w:rStyle w:val="InternetLink"/>
          <w:rFonts w:ascii="Times New Roman" w:hAnsi="Times New Roman" w:cs="Times New Roman"/>
          <w:color w:val="auto"/>
          <w:sz w:val="22"/>
          <w:u w:val="none"/>
        </w:rPr>
        <w:t xml:space="preserve">Statusi aktual i aplikantit i lëshuar nga Regjistri Qendror i Republikës së Maqedonisë së Veriut; </w:t>
      </w:r>
    </w:p>
    <w:p w14:paraId="4B172EE1" w14:textId="77777777" w:rsidR="00A80D5A" w:rsidRPr="0036101C" w:rsidRDefault="0036101C">
      <w:pPr>
        <w:pStyle w:val="ListParagraph"/>
        <w:numPr>
          <w:ilvl w:val="0"/>
          <w:numId w:val="20"/>
        </w:numPr>
        <w:ind w:left="418"/>
        <w:contextualSpacing w:val="0"/>
        <w:jc w:val="both"/>
        <w:rPr>
          <w:rStyle w:val="InternetLink"/>
          <w:rFonts w:ascii="Times New Roman" w:hAnsi="Times New Roman" w:cs="Times New Roman"/>
          <w:color w:val="auto"/>
          <w:sz w:val="22"/>
          <w:u w:val="none"/>
        </w:rPr>
      </w:pPr>
      <w:r w:rsidRPr="0036101C">
        <w:rPr>
          <w:rStyle w:val="InternetLink"/>
          <w:rFonts w:ascii="Times New Roman" w:hAnsi="Times New Roman" w:cs="Times New Roman"/>
          <w:color w:val="auto"/>
          <w:sz w:val="22"/>
          <w:u w:val="none"/>
        </w:rPr>
        <w:t>Llogaritë përfundimtare për vitin e kaluar të aplikantit.</w:t>
      </w:r>
    </w:p>
    <w:p w14:paraId="536E3C7D" w14:textId="0EB512F1" w:rsidR="00A80D5A" w:rsidRPr="0036101C" w:rsidRDefault="0036101C">
      <w:pPr>
        <w:spacing w:before="100" w:beforeAutospacing="1" w:after="100" w:afterAutospacing="1"/>
        <w:jc w:val="both"/>
        <w:rPr>
          <w:rStyle w:val="InternetLink"/>
          <w:rFonts w:ascii="Times New Roman" w:hAnsi="Times New Roman" w:cs="Times New Roman"/>
          <w:color w:val="auto"/>
          <w:sz w:val="22"/>
          <w:u w:val="none"/>
        </w:rPr>
      </w:pPr>
      <w:r w:rsidRPr="0036101C">
        <w:rPr>
          <w:rStyle w:val="InternetLink"/>
          <w:rFonts w:ascii="Times New Roman" w:hAnsi="Times New Roman" w:cs="Times New Roman"/>
          <w:color w:val="auto"/>
          <w:sz w:val="22"/>
          <w:u w:val="none"/>
        </w:rPr>
        <w:t xml:space="preserve">Në rast se kërkuesi potencial nuk rekomandohet për mbështetje, do të jepen rekomandime për përmirësimin e formularit të aplikimit për aplikantin e pasuksesshëm, i cili mund të zgjedhë të përmirësojë dhe të ridërgojë formularin e aplikimit në raundin e dytë të aplikimit. </w:t>
      </w:r>
    </w:p>
    <w:p w14:paraId="22672B1B" w14:textId="42A8904D" w:rsidR="00A80D5A" w:rsidRPr="0036101C" w:rsidRDefault="0036101C">
      <w:pPr>
        <w:rPr>
          <w:rFonts w:ascii="Times New Roman Bold" w:eastAsia="Times New Roman" w:hAnsi="Times New Roman Bold" w:cs="Times New Roman"/>
          <w:b/>
          <w:smallCaps/>
          <w:color w:val="002060"/>
          <w:sz w:val="28"/>
        </w:rPr>
      </w:pPr>
      <w:bookmarkStart w:id="7" w:name="_Toc70975310"/>
      <w:r w:rsidRPr="0036101C">
        <w:br w:type="page"/>
      </w:r>
    </w:p>
    <w:p w14:paraId="626E537F" w14:textId="2D11E411" w:rsidR="00A80D5A" w:rsidRPr="0036101C" w:rsidRDefault="0036101C">
      <w:pPr>
        <w:pStyle w:val="Guidelines2"/>
      </w:pPr>
      <w:r w:rsidRPr="0036101C">
        <w:lastRenderedPageBreak/>
        <w:t>LISTA E ANEKSEVE</w:t>
      </w:r>
      <w:bookmarkEnd w:id="7"/>
    </w:p>
    <w:p w14:paraId="3D86151D" w14:textId="77777777" w:rsidR="00A80D5A" w:rsidRPr="0036101C" w:rsidRDefault="0036101C">
      <w:pPr>
        <w:rPr>
          <w:rStyle w:val="InternetLink"/>
          <w:rFonts w:ascii="Times New Roman" w:hAnsi="Times New Roman" w:cs="Times New Roman"/>
          <w:b/>
          <w:color w:val="auto"/>
          <w:sz w:val="22"/>
          <w:u w:val="none"/>
        </w:rPr>
      </w:pPr>
      <w:bookmarkStart w:id="8" w:name="_Toc40507657"/>
      <w:r w:rsidRPr="0036101C">
        <w:rPr>
          <w:rStyle w:val="InternetLink"/>
          <w:rFonts w:ascii="Times New Roman" w:hAnsi="Times New Roman" w:cs="Times New Roman"/>
          <w:b/>
          <w:color w:val="auto"/>
          <w:sz w:val="22"/>
          <w:u w:val="none"/>
        </w:rPr>
        <w:t>DOKUMENTET QË DUHEN PLOTËSUAR</w:t>
      </w:r>
    </w:p>
    <w:p w14:paraId="5BE4DB8A" w14:textId="7F42735C" w:rsidR="00A80D5A" w:rsidRPr="0036101C" w:rsidRDefault="0036101C">
      <w:pPr>
        <w:spacing w:before="120" w:after="80"/>
        <w:ind w:left="1858" w:hanging="1138"/>
        <w:rPr>
          <w:rStyle w:val="InternetLink"/>
          <w:rFonts w:ascii="Times New Roman" w:hAnsi="Times New Roman" w:cs="Times New Roman"/>
          <w:color w:val="auto"/>
          <w:sz w:val="22"/>
          <w:u w:val="none"/>
        </w:rPr>
      </w:pPr>
      <w:r w:rsidRPr="0036101C">
        <w:rPr>
          <w:rStyle w:val="InternetLink"/>
          <w:rFonts w:ascii="Times New Roman" w:hAnsi="Times New Roman" w:cs="Times New Roman"/>
          <w:b/>
          <w:color w:val="auto"/>
          <w:sz w:val="22"/>
          <w:u w:val="none"/>
        </w:rPr>
        <w:t>Aneksi A:</w:t>
      </w:r>
      <w:r w:rsidRPr="0036101C">
        <w:rPr>
          <w:rStyle w:val="InternetLink"/>
          <w:rFonts w:ascii="Times New Roman" w:hAnsi="Times New Roman" w:cs="Times New Roman"/>
          <w:color w:val="auto"/>
          <w:sz w:val="22"/>
          <w:u w:val="none"/>
        </w:rPr>
        <w:t xml:space="preserve"> </w:t>
      </w:r>
      <w:r w:rsidRPr="0036101C">
        <w:rPr>
          <w:rStyle w:val="InternetLink"/>
          <w:rFonts w:ascii="Times New Roman" w:hAnsi="Times New Roman" w:cs="Times New Roman"/>
          <w:b/>
          <w:color w:val="auto"/>
          <w:sz w:val="22"/>
          <w:u w:val="none"/>
        </w:rPr>
        <w:t>Formulari i aplikimit (formati Word)</w:t>
      </w:r>
      <w:bookmarkEnd w:id="8"/>
    </w:p>
    <w:p w14:paraId="75C72D73" w14:textId="77777777" w:rsidR="00A80D5A" w:rsidRPr="0036101C" w:rsidRDefault="0036101C">
      <w:pPr>
        <w:spacing w:after="80"/>
        <w:ind w:left="1134" w:hanging="1134"/>
        <w:rPr>
          <w:rStyle w:val="InternetLink"/>
          <w:rFonts w:ascii="Times New Roman" w:hAnsi="Times New Roman" w:cs="Times New Roman"/>
          <w:color w:val="auto"/>
          <w:sz w:val="22"/>
          <w:u w:val="none"/>
        </w:rPr>
      </w:pPr>
      <w:r w:rsidRPr="0036101C">
        <w:rPr>
          <w:rStyle w:val="InternetLink"/>
          <w:rFonts w:ascii="Times New Roman" w:hAnsi="Times New Roman" w:cs="Times New Roman"/>
          <w:color w:val="auto"/>
          <w:sz w:val="22"/>
          <w:u w:val="none"/>
        </w:rPr>
        <w:tab/>
        <w:t>A.1 – Plani tregues i veprimit për zbatimin e planit të veprimit</w:t>
      </w:r>
    </w:p>
    <w:p w14:paraId="75277954" w14:textId="77777777" w:rsidR="00A80D5A" w:rsidRPr="0036101C" w:rsidRDefault="0036101C">
      <w:pPr>
        <w:spacing w:after="80"/>
        <w:ind w:left="1134" w:hanging="1134"/>
        <w:rPr>
          <w:rStyle w:val="InternetLink"/>
          <w:rFonts w:ascii="Times New Roman" w:hAnsi="Times New Roman" w:cs="Times New Roman"/>
          <w:color w:val="auto"/>
          <w:sz w:val="22"/>
          <w:u w:val="none"/>
        </w:rPr>
      </w:pPr>
      <w:r w:rsidRPr="0036101C">
        <w:rPr>
          <w:rStyle w:val="InternetLink"/>
          <w:rFonts w:ascii="Times New Roman" w:hAnsi="Times New Roman" w:cs="Times New Roman"/>
          <w:color w:val="auto"/>
          <w:sz w:val="22"/>
          <w:u w:val="none"/>
        </w:rPr>
        <w:tab/>
        <w:t>А.2 – Fushat tematike</w:t>
      </w:r>
    </w:p>
    <w:p w14:paraId="066682BB" w14:textId="77777777" w:rsidR="00A80D5A" w:rsidRPr="0036101C" w:rsidRDefault="0036101C">
      <w:pPr>
        <w:spacing w:after="80"/>
        <w:ind w:left="1134" w:hanging="1134"/>
        <w:rPr>
          <w:rStyle w:val="InternetLink"/>
          <w:rFonts w:ascii="Times New Roman" w:hAnsi="Times New Roman" w:cs="Times New Roman"/>
          <w:color w:val="auto"/>
          <w:sz w:val="22"/>
          <w:u w:val="none"/>
        </w:rPr>
      </w:pPr>
      <w:r w:rsidRPr="0036101C">
        <w:rPr>
          <w:rStyle w:val="InternetLink"/>
          <w:rFonts w:ascii="Times New Roman" w:hAnsi="Times New Roman" w:cs="Times New Roman"/>
          <w:color w:val="auto"/>
          <w:sz w:val="22"/>
          <w:u w:val="none"/>
        </w:rPr>
        <w:tab/>
        <w:t>A.3 - Lista e kontrolleve</w:t>
      </w:r>
    </w:p>
    <w:p w14:paraId="25B1F31D" w14:textId="77777777" w:rsidR="00A80D5A" w:rsidRPr="0036101C" w:rsidRDefault="0036101C">
      <w:pPr>
        <w:spacing w:after="80"/>
        <w:ind w:left="1854" w:hanging="1134"/>
        <w:rPr>
          <w:rStyle w:val="InternetLink"/>
          <w:rFonts w:ascii="Times New Roman" w:hAnsi="Times New Roman" w:cs="Times New Roman"/>
          <w:color w:val="auto"/>
          <w:sz w:val="22"/>
          <w:u w:val="none"/>
        </w:rPr>
      </w:pPr>
      <w:bookmarkStart w:id="9" w:name="_Toc40507658"/>
      <w:r w:rsidRPr="0036101C">
        <w:rPr>
          <w:rStyle w:val="InternetLink"/>
          <w:rFonts w:ascii="Times New Roman" w:hAnsi="Times New Roman" w:cs="Times New Roman"/>
          <w:b/>
          <w:color w:val="auto"/>
          <w:sz w:val="22"/>
          <w:u w:val="none"/>
        </w:rPr>
        <w:t>Aneksi B:</w:t>
      </w:r>
      <w:r w:rsidRPr="0036101C">
        <w:rPr>
          <w:rStyle w:val="InternetLink"/>
          <w:rFonts w:ascii="Times New Roman" w:hAnsi="Times New Roman" w:cs="Times New Roman"/>
          <w:b/>
          <w:color w:val="auto"/>
          <w:sz w:val="22"/>
          <w:u w:val="none"/>
        </w:rPr>
        <w:tab/>
        <w:t>Buxheti (formati Excel)</w:t>
      </w:r>
      <w:bookmarkEnd w:id="9"/>
    </w:p>
    <w:p w14:paraId="71D7132E" w14:textId="77777777" w:rsidR="00A80D5A" w:rsidRPr="0036101C" w:rsidRDefault="00A80D5A">
      <w:pPr>
        <w:rPr>
          <w:rStyle w:val="InternetLink"/>
          <w:rFonts w:ascii="Times New Roman" w:hAnsi="Times New Roman" w:cs="Times New Roman"/>
          <w:b/>
          <w:color w:val="auto"/>
          <w:sz w:val="22"/>
          <w:u w:val="none"/>
        </w:rPr>
      </w:pPr>
      <w:bookmarkStart w:id="10" w:name="_Toc40507661"/>
    </w:p>
    <w:p w14:paraId="36C85556" w14:textId="3BC27604" w:rsidR="00A80D5A" w:rsidRPr="0036101C" w:rsidRDefault="0036101C">
      <w:pPr>
        <w:rPr>
          <w:rStyle w:val="InternetLink"/>
          <w:rFonts w:ascii="Times New Roman" w:hAnsi="Times New Roman" w:cs="Times New Roman"/>
          <w:b/>
          <w:color w:val="auto"/>
          <w:sz w:val="22"/>
          <w:u w:val="none"/>
        </w:rPr>
      </w:pPr>
      <w:r w:rsidRPr="0036101C">
        <w:rPr>
          <w:rStyle w:val="InternetLink"/>
          <w:rFonts w:ascii="Times New Roman" w:hAnsi="Times New Roman" w:cs="Times New Roman"/>
          <w:b/>
          <w:color w:val="auto"/>
          <w:sz w:val="22"/>
          <w:u w:val="none"/>
        </w:rPr>
        <w:t>DOKUMENTET PËR INFORMACION</w:t>
      </w:r>
      <w:r w:rsidR="00DE3287">
        <w:rPr>
          <w:rStyle w:val="FootnoteReference"/>
          <w:rFonts w:ascii="Times New Roman" w:hAnsi="Times New Roman" w:cs="Times New Roman"/>
          <w:b/>
          <w:sz w:val="22"/>
        </w:rPr>
        <w:footnoteReference w:id="6"/>
      </w:r>
    </w:p>
    <w:p w14:paraId="3E7E87C1" w14:textId="77777777" w:rsidR="00A80D5A" w:rsidRPr="0036101C" w:rsidRDefault="0036101C">
      <w:pPr>
        <w:spacing w:before="120" w:after="80"/>
        <w:ind w:left="1858" w:hanging="1138"/>
        <w:rPr>
          <w:rStyle w:val="InternetLink"/>
          <w:rFonts w:ascii="Times New Roman" w:hAnsi="Times New Roman" w:cs="Times New Roman"/>
          <w:b/>
          <w:color w:val="auto"/>
          <w:sz w:val="22"/>
          <w:u w:val="none"/>
        </w:rPr>
      </w:pPr>
      <w:r w:rsidRPr="0036101C">
        <w:rPr>
          <w:rStyle w:val="InternetLink"/>
          <w:rFonts w:ascii="Times New Roman" w:hAnsi="Times New Roman" w:cs="Times New Roman"/>
          <w:b/>
          <w:color w:val="auto"/>
          <w:sz w:val="22"/>
          <w:u w:val="none"/>
        </w:rPr>
        <w:t>Aneksi C:</w:t>
      </w:r>
      <w:r w:rsidRPr="0036101C">
        <w:rPr>
          <w:rStyle w:val="InternetLink"/>
          <w:rFonts w:ascii="Times New Roman" w:hAnsi="Times New Roman" w:cs="Times New Roman"/>
          <w:b/>
          <w:color w:val="auto"/>
          <w:sz w:val="22"/>
          <w:u w:val="none"/>
        </w:rPr>
        <w:tab/>
        <w:t xml:space="preserve">Udhëzimet e zbatimit </w:t>
      </w:r>
      <w:bookmarkEnd w:id="10"/>
    </w:p>
    <w:p w14:paraId="5EA7E8F1" w14:textId="5764A19D" w:rsidR="00A80D5A" w:rsidRPr="0036101C" w:rsidRDefault="0036101C">
      <w:pPr>
        <w:spacing w:before="120" w:after="80"/>
        <w:ind w:left="1858" w:hanging="1138"/>
        <w:rPr>
          <w:rStyle w:val="InternetLink"/>
          <w:rFonts w:ascii="Times New Roman" w:hAnsi="Times New Roman" w:cs="Times New Roman"/>
          <w:b/>
          <w:color w:val="auto"/>
          <w:sz w:val="22"/>
          <w:u w:val="none"/>
        </w:rPr>
      </w:pPr>
      <w:r w:rsidRPr="0036101C">
        <w:rPr>
          <w:rStyle w:val="InternetLink"/>
          <w:rFonts w:ascii="Times New Roman" w:hAnsi="Times New Roman" w:cs="Times New Roman"/>
          <w:b/>
          <w:color w:val="auto"/>
          <w:sz w:val="22"/>
          <w:u w:val="none"/>
        </w:rPr>
        <w:t xml:space="preserve">Aneksi D: </w:t>
      </w:r>
      <w:r w:rsidRPr="0036101C">
        <w:rPr>
          <w:rStyle w:val="InternetLink"/>
          <w:rFonts w:ascii="Times New Roman" w:hAnsi="Times New Roman" w:cs="Times New Roman"/>
          <w:b/>
          <w:color w:val="auto"/>
          <w:sz w:val="22"/>
          <w:u w:val="none"/>
        </w:rPr>
        <w:tab/>
        <w:t xml:space="preserve">Rrjeti i vlerësimit </w:t>
      </w:r>
    </w:p>
    <w:sectPr w:rsidR="00A80D5A" w:rsidRPr="0036101C">
      <w:headerReference w:type="default" r:id="rId16"/>
      <w:footerReference w:type="default" r:id="rId17"/>
      <w:footerReference w:type="first" r:id="rId18"/>
      <w:pgSz w:w="11906" w:h="16838"/>
      <w:pgMar w:top="1135" w:right="1440" w:bottom="1440" w:left="1440" w:header="708" w:footer="50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EFF3" w14:textId="77777777" w:rsidR="003365E4" w:rsidRDefault="003365E4">
      <w:r>
        <w:separator/>
      </w:r>
    </w:p>
  </w:endnote>
  <w:endnote w:type="continuationSeparator" w:id="0">
    <w:p w14:paraId="6CA921CC" w14:textId="77777777" w:rsidR="003365E4" w:rsidRDefault="0033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Arial">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5A31" w14:textId="77FFE61C" w:rsidR="00A80D5A" w:rsidRDefault="00000000">
    <w:pPr>
      <w:pStyle w:val="P68B1DB1-Footer25"/>
      <w:jc w:val="right"/>
    </w:pPr>
    <w:r>
      <w:pict w14:anchorId="2F2BB7FC">
        <v:rect id="_x0000_i1025" style="width:0;height:1.5pt" o:hralign="center" o:hrstd="t" o:hr="t" fillcolor="#a0a0a0" stroked="f"/>
      </w:pict>
    </w:r>
  </w:p>
  <w:p w14:paraId="4A3B6F38" w14:textId="00E6F03C" w:rsidR="00A80D5A" w:rsidRDefault="0036101C">
    <w:pPr>
      <w:pStyle w:val="P68B1DB1-Footer25"/>
      <w:jc w:val="right"/>
    </w:pPr>
    <w:r>
      <w:fldChar w:fldCharType="begin"/>
    </w:r>
    <w:r>
      <w:instrText xml:space="preserve"> PAGE   \* MERGEFORMAT </w:instrText>
    </w:r>
    <w:r>
      <w:fldChar w:fldCharType="separate"/>
    </w:r>
    <w:r>
      <w:rPr>
        <w:noProof/>
      </w:rPr>
      <w:t>10</w:t>
    </w:r>
    <w:r>
      <w:fldChar w:fldCharType="end"/>
    </w:r>
  </w:p>
  <w:p w14:paraId="794DFB4D" w14:textId="77777777" w:rsidR="00A80D5A" w:rsidRDefault="0036101C">
    <w:pPr>
      <w:pStyle w:val="P68B1DB1-Footer26"/>
    </w:pPr>
    <w:r>
      <w:t>IPA/2019/413-168/EUCRM</w:t>
    </w:r>
  </w:p>
  <w:p w14:paraId="7CFA2565" w14:textId="77777777" w:rsidR="00A80D5A" w:rsidRDefault="00A80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577C" w14:textId="4ABFF33F" w:rsidR="00A80D5A" w:rsidRDefault="0036101C">
    <w:pPr>
      <w:pStyle w:val="Footer"/>
    </w:pPr>
    <w:r>
      <w:rPr>
        <w:noProof/>
      </w:rPr>
      <w:drawing>
        <wp:inline distT="0" distB="0" distL="0" distR="0" wp14:anchorId="40E3A3EF" wp14:editId="2AC7C905">
          <wp:extent cx="5731510" cy="991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b="21512"/>
                  <a:stretch/>
                </pic:blipFill>
                <pic:spPr bwMode="auto">
                  <a:xfrm>
                    <a:off x="0" y="0"/>
                    <a:ext cx="5731510" cy="99187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67CF" w14:textId="77777777" w:rsidR="003365E4" w:rsidRDefault="003365E4">
      <w:r>
        <w:separator/>
      </w:r>
    </w:p>
  </w:footnote>
  <w:footnote w:type="continuationSeparator" w:id="0">
    <w:p w14:paraId="14FB7AC1" w14:textId="77777777" w:rsidR="003365E4" w:rsidRDefault="003365E4">
      <w:r>
        <w:continuationSeparator/>
      </w:r>
    </w:p>
  </w:footnote>
  <w:footnote w:id="1">
    <w:p w14:paraId="0DCF9872" w14:textId="26F2C8B0" w:rsidR="00A80D5A" w:rsidRDefault="0036101C">
      <w:pPr>
        <w:pStyle w:val="FootnoteText"/>
        <w:rPr>
          <w:rFonts w:ascii="Times New Roman" w:hAnsi="Times New Roman" w:cs="Times New Roman"/>
        </w:rPr>
      </w:pPr>
      <w:r>
        <w:rPr>
          <w:rStyle w:val="FootnoteReference"/>
          <w:rFonts w:ascii="Times New Roman" w:hAnsi="Times New Roman" w:cs="Times New Roman"/>
          <w:sz w:val="16"/>
        </w:rPr>
        <w:footnoteRef/>
      </w:r>
      <w:r>
        <w:rPr>
          <w:rFonts w:ascii="Times New Roman" w:hAnsi="Times New Roman" w:cs="Times New Roman"/>
          <w:sz w:val="16"/>
        </w:rPr>
        <w:t>Ligji për shoqata dhe fondacione ("Gazeta Zyrtare e Republikës së Maqedonisë së Veriut" nr. 52/10, 135/11 dhe 55/16).</w:t>
      </w:r>
    </w:p>
  </w:footnote>
  <w:footnote w:id="2">
    <w:p w14:paraId="701801B6" w14:textId="5116CFC8" w:rsidR="00A80D5A" w:rsidRDefault="0036101C">
      <w:pPr>
        <w:pStyle w:val="FootnoteText"/>
        <w:rPr>
          <w:rFonts w:ascii="Times New Roman" w:hAnsi="Times New Roman" w:cs="Times New Roman"/>
        </w:rPr>
      </w:pPr>
      <w:r>
        <w:rPr>
          <w:rStyle w:val="FootnoteReference"/>
          <w:rFonts w:ascii="Times New Roman" w:hAnsi="Times New Roman" w:cs="Times New Roman"/>
          <w:sz w:val="16"/>
        </w:rPr>
        <w:footnoteRef/>
      </w:r>
      <w:r>
        <w:rPr>
          <w:rFonts w:ascii="Times New Roman" w:hAnsi="Times New Roman" w:cs="Times New Roman"/>
          <w:sz w:val="16"/>
        </w:rPr>
        <w:t>Aktivitet me</w:t>
      </w:r>
      <w:r>
        <w:rPr>
          <w:rFonts w:ascii="Times New Roman" w:hAnsi="Times New Roman" w:cs="Times New Roman"/>
          <w:b/>
          <w:i/>
          <w:sz w:val="16"/>
        </w:rPr>
        <w:t xml:space="preserve"> përfitim publik</w:t>
      </w:r>
      <w:r>
        <w:rPr>
          <w:rFonts w:ascii="Times New Roman" w:hAnsi="Times New Roman" w:cs="Times New Roman"/>
          <w:sz w:val="16"/>
        </w:rPr>
        <w:t xml:space="preserve"> është një aktivitet që është i dobishëm për shoqërinë. Neni 74 i Ligjit për shoqata dhe fondacione përcakton veprimet/aktivitetet me dobi publike. Ligji është në dispozicion në </w:t>
      </w:r>
      <w:hyperlink r:id="rId1" w:history="1">
        <w:r>
          <w:rPr>
            <w:rStyle w:val="Hyperlink"/>
            <w:rFonts w:ascii="Times New Roman" w:hAnsi="Times New Roman" w:cs="Times New Roman"/>
            <w:color w:val="auto"/>
            <w:sz w:val="16"/>
          </w:rPr>
          <w:t>https://rcgo.mk/wp-content/uploads/2018/10/Zakon-za-zdruzhenija-i-fondacii.pdf</w:t>
        </w:r>
      </w:hyperlink>
      <w:r>
        <w:rPr>
          <w:rFonts w:ascii="Times New Roman" w:hAnsi="Times New Roman" w:cs="Times New Roman"/>
          <w:sz w:val="16"/>
        </w:rPr>
        <w:t>.</w:t>
      </w:r>
    </w:p>
  </w:footnote>
  <w:footnote w:id="3">
    <w:p w14:paraId="64069B13" w14:textId="732E00B2" w:rsidR="00A80D5A" w:rsidRDefault="0036101C">
      <w:pPr>
        <w:pStyle w:val="FootnoteText"/>
      </w:pPr>
      <w:r>
        <w:rPr>
          <w:rStyle w:val="FootnoteReference"/>
          <w:rFonts w:ascii="Times New Roman" w:hAnsi="Times New Roman" w:cs="Times New Roman"/>
          <w:sz w:val="16"/>
        </w:rPr>
        <w:footnoteRef/>
      </w:r>
      <w:r>
        <w:rPr>
          <w:rStyle w:val="apple-converted-space"/>
          <w:rFonts w:ascii="Times New Roman" w:hAnsi="Times New Roman" w:cs="Times New Roman"/>
          <w:b/>
          <w:i/>
          <w:sz w:val="16"/>
          <w:shd w:val="clear" w:color="auto" w:fill="FFFFFF"/>
        </w:rPr>
        <w:t>Qasja e bazuar në të drejtat (QBD)</w:t>
      </w:r>
      <w:r>
        <w:rPr>
          <w:rStyle w:val="apple-converted-space"/>
          <w:rFonts w:ascii="Times New Roman" w:hAnsi="Times New Roman" w:cs="Times New Roman"/>
          <w:sz w:val="16"/>
          <w:shd w:val="clear" w:color="auto" w:fill="FFFFFF"/>
        </w:rPr>
        <w:t xml:space="preserve"> është e gjerë në fushëveprim, duke përfshirë të drejtat dhe liritë themelore sociale, ekonomike dhe kulturore të njeriut, përfshirë të drejtat e kafshëve dhe mjedisit. Veprimi i bazuar në të drejtat përfshin të gjitha sjelljet dhe veprimet e përqendruara në zhvillimin e të drejtave; nga lobimi dhe avokimi, duke mundësuar njohjen e një të drejte, deri në sigurimin e planeve të veprimit emergjent për njerëzit e privuar nga një e drejtë. QBD bazohet në identifikimin e 'mbajtësve të të drejtave‘ dhe ’bartësve të detyrave‘ përkatëse në kontekste specifike, dhe promovimin e kapaciteteve për të kërkuar të drejtat e tyre dhe për të përmbushur detyrat e tyre në mënyrë përkatëse. Më shumë informacion mund të gjendet në </w:t>
      </w:r>
      <w:hyperlink r:id="rId2">
        <w:r>
          <w:rPr>
            <w:rStyle w:val="InternetLink"/>
            <w:rFonts w:ascii="Times New Roman" w:hAnsi="Times New Roman" w:cs="Times New Roman"/>
            <w:color w:val="auto"/>
            <w:sz w:val="16"/>
            <w:highlight w:val="white"/>
          </w:rPr>
          <w:t>http://register.consilium.europa.eu/doc/srv?l=EN&amp;f=ST%209489%202014%20INIT</w:t>
        </w:r>
      </w:hyperlink>
      <w:r>
        <w:rPr>
          <w:rStyle w:val="InternetLink"/>
          <w:rFonts w:ascii="Times New Roman" w:hAnsi="Times New Roman" w:cs="Times New Roman"/>
          <w:color w:val="auto"/>
          <w:sz w:val="16"/>
        </w:rPr>
        <w:t>.</w:t>
      </w:r>
    </w:p>
  </w:footnote>
  <w:footnote w:id="4">
    <w:p w14:paraId="6C7820C2" w14:textId="77777777" w:rsidR="00A80D5A" w:rsidRDefault="0036101C">
      <w:pPr>
        <w:pStyle w:val="FootnoteText"/>
        <w:jc w:val="both"/>
        <w:rPr>
          <w:rFonts w:ascii="Times New Roman" w:hAnsi="Times New Roman" w:cs="Times New Roman"/>
          <w:sz w:val="18"/>
        </w:rPr>
      </w:pPr>
      <w:r>
        <w:rPr>
          <w:rStyle w:val="FootnoteReference"/>
          <w:rFonts w:ascii="Times New Roman" w:hAnsi="Times New Roman" w:cs="Times New Roman"/>
          <w:sz w:val="18"/>
        </w:rPr>
        <w:footnoteRef/>
      </w:r>
      <w:r>
        <w:rPr>
          <w:rFonts w:ascii="Times New Roman" w:hAnsi="Times New Roman" w:cs="Times New Roman"/>
          <w:b/>
          <w:sz w:val="18"/>
        </w:rPr>
        <w:t>Vendet IPA</w:t>
      </w:r>
      <w:r>
        <w:rPr>
          <w:rFonts w:ascii="Times New Roman" w:hAnsi="Times New Roman" w:cs="Times New Roman"/>
          <w:sz w:val="18"/>
        </w:rPr>
        <w:t xml:space="preserve"> janë Shqipëria, Bosnja dhe Hercegovina, Republika e Maqedonisë së Veriut, Kosova*, Mali i Zi, Serbia dhe Turqia. </w:t>
      </w:r>
    </w:p>
    <w:p w14:paraId="71F86FC9" w14:textId="4A98ED02" w:rsidR="00A80D5A" w:rsidRDefault="0036101C">
      <w:pPr>
        <w:pStyle w:val="P68B1DB1-FootnoteText24"/>
        <w:jc w:val="both"/>
      </w:pPr>
      <w:r>
        <w:t>*Ky përcaktim është pa paragjykim ndaj qëndrimeve mbi statusin dhe është në përputhje me RKSKB 1244 dhe Opinionin e GJND-së për shpalljen e pavarësisë së Kosovës.</w:t>
      </w:r>
    </w:p>
  </w:footnote>
  <w:footnote w:id="5">
    <w:p w14:paraId="62E56841" w14:textId="77777777" w:rsidR="00A80D5A" w:rsidRDefault="0036101C">
      <w:pPr>
        <w:pStyle w:val="FootnoteText"/>
        <w:jc w:val="both"/>
        <w:rPr>
          <w:rStyle w:val="apple-converted-space"/>
          <w:rFonts w:ascii="Times New Roman" w:hAnsi="Times New Roman" w:cs="Times New Roman"/>
          <w:sz w:val="18"/>
          <w:highlight w:val="white"/>
        </w:rPr>
      </w:pPr>
      <w:r>
        <w:rPr>
          <w:rStyle w:val="FootnoteReference"/>
          <w:rFonts w:ascii="Times New Roman" w:hAnsi="Times New Roman" w:cs="Times New Roman"/>
          <w:sz w:val="18"/>
        </w:rPr>
        <w:footnoteRef/>
      </w:r>
      <w:r>
        <w:rPr>
          <w:rFonts w:ascii="Times New Roman" w:hAnsi="Times New Roman" w:cs="Times New Roman"/>
          <w:sz w:val="18"/>
        </w:rPr>
        <w:t xml:space="preserve">Lista </w:t>
      </w:r>
      <w:r>
        <w:rPr>
          <w:rFonts w:ascii="Times New Roman" w:hAnsi="Times New Roman" w:cs="Times New Roman"/>
          <w:b/>
          <w:sz w:val="18"/>
        </w:rPr>
        <w:t>e shteteve anëtare të BE-së</w:t>
      </w:r>
      <w:r>
        <w:rPr>
          <w:rFonts w:ascii="Times New Roman" w:hAnsi="Times New Roman" w:cs="Times New Roman"/>
          <w:sz w:val="18"/>
        </w:rPr>
        <w:t xml:space="preserve"> është si vijon: Austria, Belgjika, Bullgaria, Kroacia, Qipro, Republika Çeke, Danimarka, Estonia, Finlanda, Franca, Gjermania, Greqia, Hungaria, Irlanda, Italia, Letonia, Lihtenshtajni, Lituania, Luksemburgu, Malta, Holanda, Polonia, Portugalia, Rumania, Sllovakia, Sllovenia dhe Suedia. </w:t>
      </w:r>
    </w:p>
    <w:p w14:paraId="15DD77BB" w14:textId="77777777" w:rsidR="00A80D5A" w:rsidRDefault="00A80D5A">
      <w:pPr>
        <w:pStyle w:val="FootnoteText"/>
      </w:pPr>
    </w:p>
  </w:footnote>
  <w:footnote w:id="6">
    <w:p w14:paraId="5BC17FB9" w14:textId="7573E173" w:rsidR="00DE3287" w:rsidRPr="00727709" w:rsidRDefault="00DE3287">
      <w:pPr>
        <w:pStyle w:val="FootnoteText"/>
        <w:rPr>
          <w:lang w:val="en-US"/>
        </w:rPr>
      </w:pPr>
      <w:r>
        <w:rPr>
          <w:rStyle w:val="FootnoteReference"/>
        </w:rPr>
        <w:footnoteRef/>
      </w:r>
      <w:r>
        <w:t xml:space="preserve"> </w:t>
      </w:r>
      <w:r>
        <w:rPr>
          <w:rFonts w:ascii="Times New Roman" w:hAnsi="Times New Roman" w:cs="Times New Roman"/>
          <w:i/>
          <w:sz w:val="20"/>
        </w:rPr>
        <w:t>Këto dokumente do të publikohen edhe nga autoriteti kontraktues.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5BFE" w14:textId="2105AB12" w:rsidR="00A80D5A" w:rsidRDefault="00A80D5A">
    <w:pPr>
      <w:pStyle w:val="Header"/>
    </w:pPr>
  </w:p>
  <w:p w14:paraId="2E86ED44" w14:textId="0949111D" w:rsidR="00A80D5A" w:rsidRDefault="00A80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8"/>
    <w:multiLevelType w:val="singleLevel"/>
    <w:tmpl w:val="00000008"/>
    <w:name w:val="WW8Num7"/>
    <w:lvl w:ilvl="0">
      <w:start w:val="1"/>
      <w:numFmt w:val="bullet"/>
      <w:lvlText w:val=""/>
      <w:lvlJc w:val="left"/>
      <w:pPr>
        <w:tabs>
          <w:tab w:val="num" w:pos="1440"/>
        </w:tabs>
        <w:ind w:left="1440" w:hanging="360"/>
      </w:pPr>
      <w:rPr>
        <w:rFonts w:ascii="Symbol" w:hAnsi="Symbol"/>
      </w:rPr>
    </w:lvl>
  </w:abstractNum>
  <w:abstractNum w:abstractNumId="2" w15:restartNumberingAfterBreak="0">
    <w:nsid w:val="01652CCC"/>
    <w:multiLevelType w:val="multilevel"/>
    <w:tmpl w:val="298096B6"/>
    <w:lvl w:ilvl="0">
      <w:start w:val="1"/>
      <w:numFmt w:val="decimal"/>
      <w:lvlText w:val="%1."/>
      <w:lvlJc w:val="left"/>
      <w:pPr>
        <w:ind w:left="567" w:hanging="567"/>
      </w:pPr>
      <w:rPr>
        <w:rFonts w:ascii="Times New Roman Bold" w:hAnsi="Times New Roman Bold" w:cs="Times New Roman" w:hint="default"/>
        <w:b/>
        <w:i w:val="0"/>
        <w:caps/>
        <w:strike w:val="0"/>
        <w:dstrike w:val="0"/>
        <w:outline w:val="0"/>
        <w:shadow w:val="0"/>
        <w:emboss w:val="0"/>
        <w:imprint w:val="0"/>
        <w:sz w:val="24"/>
        <w:vertAlign w:val="baseline"/>
      </w:rPr>
    </w:lvl>
    <w:lvl w:ilvl="1">
      <w:start w:val="1"/>
      <w:numFmt w:val="decimal"/>
      <w:lvlText w:val="%1.%2."/>
      <w:lvlJc w:val="left"/>
      <w:pPr>
        <w:ind w:left="567" w:hanging="567"/>
      </w:pPr>
      <w:rPr>
        <w:rFonts w:ascii="Times New Roman Bold" w:hAnsi="Times New Roman Bold" w:cs="Times New Roman" w:hint="default"/>
        <w:b/>
        <w:i w:val="0"/>
        <w:caps w:val="0"/>
        <w:strike w:val="0"/>
        <w:dstrike w:val="0"/>
        <w:outline w:val="0"/>
        <w:shadow w:val="0"/>
        <w:emboss w:val="0"/>
        <w:imprint w:val="0"/>
        <w:vanish w:val="0"/>
        <w:color w:val="000000"/>
        <w:sz w:val="24"/>
        <w:u w:val="none"/>
        <w:vertAlign w:val="baseline"/>
      </w:rPr>
    </w:lvl>
    <w:lvl w:ilvl="2">
      <w:start w:val="1"/>
      <w:numFmt w:val="decimal"/>
      <w:lvlText w:val="%1.%2.%3."/>
      <w:lvlJc w:val="left"/>
      <w:pPr>
        <w:ind w:left="851" w:hanging="851"/>
      </w:pPr>
      <w:rPr>
        <w:rFonts w:ascii="Times New Roman Bold" w:hAnsi="Times New Roman Bold" w:cs="Times New Roman" w:hint="default"/>
        <w:b/>
        <w:i/>
        <w:caps w:val="0"/>
        <w:strike w:val="0"/>
        <w:dstrike w:val="0"/>
        <w:outline w:val="0"/>
        <w:shadow w:val="0"/>
        <w:emboss w:val="0"/>
        <w:imprint w:val="0"/>
        <w:vanish w:val="0"/>
        <w:color w:val="000000"/>
        <w:sz w:val="24"/>
        <w:u w:val="none"/>
        <w:vertAlign w:val="base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3" w15:restartNumberingAfterBreak="0">
    <w:nsid w:val="0B724F87"/>
    <w:multiLevelType w:val="multilevel"/>
    <w:tmpl w:val="58E006AE"/>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C4D18E0"/>
    <w:multiLevelType w:val="multilevel"/>
    <w:tmpl w:val="02E6883A"/>
    <w:lvl w:ilvl="0">
      <w:start w:val="1"/>
      <w:numFmt w:val="bullet"/>
      <w:lvlText w:val="o"/>
      <w:lvlJc w:val="left"/>
      <w:pPr>
        <w:ind w:left="720" w:hanging="360"/>
      </w:pPr>
      <w:rPr>
        <w:rFonts w:ascii="Courier New" w:hAnsi="Courier New" w:cs="Courier New"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F9D27CE"/>
    <w:multiLevelType w:val="multilevel"/>
    <w:tmpl w:val="70DC223A"/>
    <w:lvl w:ilvl="0">
      <w:start w:val="1"/>
      <w:numFmt w:val="decimal"/>
      <w:lvlText w:val="%1."/>
      <w:lvlJc w:val="left"/>
      <w:pPr>
        <w:ind w:left="360" w:hanging="360"/>
      </w:pPr>
      <w:rPr>
        <w:rFonts w:ascii="Times New Roman" w:hAnsi="Times New Roman"/>
        <w:b w:val="0"/>
        <w:bCs w:val="0"/>
        <w:i w:val="0"/>
        <w:iCs w:val="0"/>
        <w:color w:val="0070C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BB1718"/>
    <w:multiLevelType w:val="hybridMultilevel"/>
    <w:tmpl w:val="10D66534"/>
    <w:lvl w:ilvl="0" w:tplc="8460DF16">
      <w:start w:val="1"/>
      <w:numFmt w:val="bullet"/>
      <w:lvlText w:val="-"/>
      <w:lvlJc w:val="left"/>
      <w:pPr>
        <w:ind w:left="420" w:hanging="360"/>
      </w:pPr>
      <w:rPr>
        <w:rFonts w:ascii="Times New Roman" w:eastAsia="Times New Roman"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3722D4F"/>
    <w:multiLevelType w:val="multilevel"/>
    <w:tmpl w:val="C68C87F4"/>
    <w:lvl w:ilvl="0">
      <w:start w:val="1"/>
      <w:numFmt w:val="bullet"/>
      <w:lvlText w:val="o"/>
      <w:lvlJc w:val="left"/>
      <w:pPr>
        <w:ind w:left="720" w:hanging="360"/>
      </w:pPr>
      <w:rPr>
        <w:rFonts w:ascii="Courier New" w:hAnsi="Courier New" w:cs="Courier New"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6FE335D"/>
    <w:multiLevelType w:val="multilevel"/>
    <w:tmpl w:val="63B0B2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9952357"/>
    <w:multiLevelType w:val="multilevel"/>
    <w:tmpl w:val="D7BE4F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AC52873"/>
    <w:multiLevelType w:val="multilevel"/>
    <w:tmpl w:val="F4B2E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22A15"/>
    <w:multiLevelType w:val="hybridMultilevel"/>
    <w:tmpl w:val="9878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4023E"/>
    <w:multiLevelType w:val="multilevel"/>
    <w:tmpl w:val="69545110"/>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E8001E"/>
    <w:multiLevelType w:val="multilevel"/>
    <w:tmpl w:val="256031D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274259EA"/>
    <w:multiLevelType w:val="multilevel"/>
    <w:tmpl w:val="71FE8C7E"/>
    <w:lvl w:ilvl="0">
      <w:start w:val="16"/>
      <w:numFmt w:val="decimal"/>
      <w:pStyle w:val="Guidelines1"/>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CE03EF5"/>
    <w:multiLevelType w:val="multilevel"/>
    <w:tmpl w:val="EB0CB774"/>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02F2BDE"/>
    <w:multiLevelType w:val="multilevel"/>
    <w:tmpl w:val="565801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2EE1B50"/>
    <w:multiLevelType w:val="multilevel"/>
    <w:tmpl w:val="E6BC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533106"/>
    <w:multiLevelType w:val="multilevel"/>
    <w:tmpl w:val="015EE3C0"/>
    <w:lvl w:ilvl="0">
      <w:start w:val="1"/>
      <w:numFmt w:val="bullet"/>
      <w:lvlText w:val=""/>
      <w:lvlJc w:val="left"/>
      <w:pPr>
        <w:ind w:left="1080" w:hanging="360"/>
      </w:pPr>
      <w:rPr>
        <w:rFonts w:ascii="Symbol" w:hAnsi="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16157EF"/>
    <w:multiLevelType w:val="multilevel"/>
    <w:tmpl w:val="608E865C"/>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3892664"/>
    <w:multiLevelType w:val="multilevel"/>
    <w:tmpl w:val="19647668"/>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B7AED"/>
    <w:multiLevelType w:val="multilevel"/>
    <w:tmpl w:val="4BBA8DAE"/>
    <w:lvl w:ilvl="0">
      <w:start w:val="1"/>
      <w:numFmt w:val="decimal"/>
      <w:lvlText w:val="%1."/>
      <w:lvlJc w:val="left"/>
      <w:pPr>
        <w:ind w:left="360" w:hanging="360"/>
      </w:pPr>
      <w:rPr>
        <w:rFonts w:ascii="Times New Roman" w:hAnsi="Times New Roman"/>
        <w:b/>
        <w:bCs/>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B102A4"/>
    <w:multiLevelType w:val="hybridMultilevel"/>
    <w:tmpl w:val="1C3A4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06360F"/>
    <w:multiLevelType w:val="multilevel"/>
    <w:tmpl w:val="2EFE1C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97173DD"/>
    <w:multiLevelType w:val="hybridMultilevel"/>
    <w:tmpl w:val="AD5C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45AFB"/>
    <w:multiLevelType w:val="multilevel"/>
    <w:tmpl w:val="48E26CE8"/>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7F71CFE"/>
    <w:multiLevelType w:val="multilevel"/>
    <w:tmpl w:val="D9FC1E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D5217CC"/>
    <w:multiLevelType w:val="multilevel"/>
    <w:tmpl w:val="04662E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76497617">
    <w:abstractNumId w:val="25"/>
  </w:num>
  <w:num w:numId="2" w16cid:durableId="651101693">
    <w:abstractNumId w:val="17"/>
  </w:num>
  <w:num w:numId="3" w16cid:durableId="780220279">
    <w:abstractNumId w:val="4"/>
  </w:num>
  <w:num w:numId="4" w16cid:durableId="1029720574">
    <w:abstractNumId w:val="20"/>
  </w:num>
  <w:num w:numId="5" w16cid:durableId="1865634124">
    <w:abstractNumId w:val="3"/>
  </w:num>
  <w:num w:numId="6" w16cid:durableId="972904633">
    <w:abstractNumId w:val="21"/>
  </w:num>
  <w:num w:numId="7" w16cid:durableId="2125612099">
    <w:abstractNumId w:val="28"/>
  </w:num>
  <w:num w:numId="8" w16cid:durableId="1290740812">
    <w:abstractNumId w:val="23"/>
  </w:num>
  <w:num w:numId="9" w16cid:durableId="913003440">
    <w:abstractNumId w:val="27"/>
  </w:num>
  <w:num w:numId="10" w16cid:durableId="2028829779">
    <w:abstractNumId w:val="16"/>
  </w:num>
  <w:num w:numId="11" w16cid:durableId="1552887581">
    <w:abstractNumId w:val="19"/>
  </w:num>
  <w:num w:numId="12" w16cid:durableId="1745562298">
    <w:abstractNumId w:val="5"/>
  </w:num>
  <w:num w:numId="13" w16cid:durableId="260190108">
    <w:abstractNumId w:val="15"/>
  </w:num>
  <w:num w:numId="14" w16cid:durableId="1914200180">
    <w:abstractNumId w:val="9"/>
  </w:num>
  <w:num w:numId="15" w16cid:durableId="72707153">
    <w:abstractNumId w:val="7"/>
  </w:num>
  <w:num w:numId="16" w16cid:durableId="1154833205">
    <w:abstractNumId w:val="8"/>
  </w:num>
  <w:num w:numId="17" w16cid:durableId="1767798576">
    <w:abstractNumId w:val="26"/>
  </w:num>
  <w:num w:numId="18" w16cid:durableId="2027511281">
    <w:abstractNumId w:val="10"/>
  </w:num>
  <w:num w:numId="19" w16cid:durableId="544558674">
    <w:abstractNumId w:val="29"/>
  </w:num>
  <w:num w:numId="20" w16cid:durableId="1698847137">
    <w:abstractNumId w:val="6"/>
  </w:num>
  <w:num w:numId="21" w16cid:durableId="457379084">
    <w:abstractNumId w:val="0"/>
  </w:num>
  <w:num w:numId="22" w16cid:durableId="2019304265">
    <w:abstractNumId w:val="2"/>
  </w:num>
  <w:num w:numId="23" w16cid:durableId="1543057806">
    <w:abstractNumId w:val="18"/>
  </w:num>
  <w:num w:numId="24" w16cid:durableId="77411012">
    <w:abstractNumId w:val="11"/>
  </w:num>
  <w:num w:numId="25" w16cid:durableId="1824547285">
    <w:abstractNumId w:val="22"/>
  </w:num>
  <w:num w:numId="26" w16cid:durableId="1816988976">
    <w:abstractNumId w:val="14"/>
  </w:num>
  <w:num w:numId="27" w16cid:durableId="1476678789">
    <w:abstractNumId w:val="13"/>
  </w:num>
  <w:num w:numId="28" w16cid:durableId="714894139">
    <w:abstractNumId w:val="12"/>
  </w:num>
  <w:num w:numId="29" w16cid:durableId="187723378">
    <w:abstractNumId w:val="24"/>
  </w:num>
  <w:num w:numId="30" w16cid:durableId="706637183">
    <w:abstractNumId w:val="29"/>
  </w:num>
  <w:num w:numId="31" w16cid:durableId="728116870">
    <w:abstractNumId w:val="14"/>
  </w:num>
  <w:num w:numId="32" w16cid:durableId="1205942279">
    <w:abstractNumId w:val="13"/>
  </w:num>
  <w:num w:numId="33" w16cid:durableId="1021319819">
    <w:abstractNumId w:val="13"/>
  </w:num>
  <w:num w:numId="34" w16cid:durableId="1279871933">
    <w:abstractNumId w:val="13"/>
  </w:num>
  <w:num w:numId="35" w16cid:durableId="1894467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02C09"/>
    <w:rsid w:val="00000592"/>
    <w:rsid w:val="000017C5"/>
    <w:rsid w:val="00004437"/>
    <w:rsid w:val="000136AE"/>
    <w:rsid w:val="00013A4B"/>
    <w:rsid w:val="00015E6F"/>
    <w:rsid w:val="00017321"/>
    <w:rsid w:val="0001745F"/>
    <w:rsid w:val="00025B50"/>
    <w:rsid w:val="00025FEB"/>
    <w:rsid w:val="00027943"/>
    <w:rsid w:val="000308CD"/>
    <w:rsid w:val="00037B66"/>
    <w:rsid w:val="0004257F"/>
    <w:rsid w:val="0004594F"/>
    <w:rsid w:val="00047A33"/>
    <w:rsid w:val="00054793"/>
    <w:rsid w:val="00056010"/>
    <w:rsid w:val="00060429"/>
    <w:rsid w:val="00062A43"/>
    <w:rsid w:val="00063E39"/>
    <w:rsid w:val="000658E6"/>
    <w:rsid w:val="00067AC7"/>
    <w:rsid w:val="000707C1"/>
    <w:rsid w:val="000738C7"/>
    <w:rsid w:val="00073CBC"/>
    <w:rsid w:val="00074138"/>
    <w:rsid w:val="0007718B"/>
    <w:rsid w:val="000902EB"/>
    <w:rsid w:val="00091737"/>
    <w:rsid w:val="000919CF"/>
    <w:rsid w:val="00093249"/>
    <w:rsid w:val="00093C79"/>
    <w:rsid w:val="000A2CE9"/>
    <w:rsid w:val="000A3045"/>
    <w:rsid w:val="000A4084"/>
    <w:rsid w:val="000A4A25"/>
    <w:rsid w:val="000A5F6D"/>
    <w:rsid w:val="000A7B5E"/>
    <w:rsid w:val="000B0425"/>
    <w:rsid w:val="000B13F6"/>
    <w:rsid w:val="000B27CE"/>
    <w:rsid w:val="000B4E0A"/>
    <w:rsid w:val="000C1810"/>
    <w:rsid w:val="000C1DD5"/>
    <w:rsid w:val="000C2360"/>
    <w:rsid w:val="000C4E25"/>
    <w:rsid w:val="000D0EE7"/>
    <w:rsid w:val="000E7EF9"/>
    <w:rsid w:val="000F0EC0"/>
    <w:rsid w:val="000F2EAF"/>
    <w:rsid w:val="000F57B8"/>
    <w:rsid w:val="001008D4"/>
    <w:rsid w:val="00103F61"/>
    <w:rsid w:val="001042DD"/>
    <w:rsid w:val="00104C0E"/>
    <w:rsid w:val="001117D4"/>
    <w:rsid w:val="001128B8"/>
    <w:rsid w:val="0011533D"/>
    <w:rsid w:val="00115DC0"/>
    <w:rsid w:val="0012345D"/>
    <w:rsid w:val="00125AA9"/>
    <w:rsid w:val="00130057"/>
    <w:rsid w:val="001318A9"/>
    <w:rsid w:val="0013211B"/>
    <w:rsid w:val="001324F2"/>
    <w:rsid w:val="001344B0"/>
    <w:rsid w:val="0013570F"/>
    <w:rsid w:val="00141487"/>
    <w:rsid w:val="001415C7"/>
    <w:rsid w:val="001421EB"/>
    <w:rsid w:val="00142781"/>
    <w:rsid w:val="00147F4B"/>
    <w:rsid w:val="00150267"/>
    <w:rsid w:val="00151CB1"/>
    <w:rsid w:val="00153BF0"/>
    <w:rsid w:val="00153F24"/>
    <w:rsid w:val="00162DB7"/>
    <w:rsid w:val="00165AEB"/>
    <w:rsid w:val="001664B1"/>
    <w:rsid w:val="0016669F"/>
    <w:rsid w:val="001709CE"/>
    <w:rsid w:val="00173E1E"/>
    <w:rsid w:val="001806A4"/>
    <w:rsid w:val="001808F1"/>
    <w:rsid w:val="00181B89"/>
    <w:rsid w:val="00184BCA"/>
    <w:rsid w:val="0018664F"/>
    <w:rsid w:val="00186939"/>
    <w:rsid w:val="00192CD7"/>
    <w:rsid w:val="001A0622"/>
    <w:rsid w:val="001A5317"/>
    <w:rsid w:val="001A54C4"/>
    <w:rsid w:val="001B06C0"/>
    <w:rsid w:val="001B1117"/>
    <w:rsid w:val="001B1F7A"/>
    <w:rsid w:val="001B2BFD"/>
    <w:rsid w:val="001B334D"/>
    <w:rsid w:val="001B66A3"/>
    <w:rsid w:val="001C1E7F"/>
    <w:rsid w:val="001C7799"/>
    <w:rsid w:val="001D6D89"/>
    <w:rsid w:val="001F1C15"/>
    <w:rsid w:val="001F2D4A"/>
    <w:rsid w:val="001F51BF"/>
    <w:rsid w:val="001F6B8E"/>
    <w:rsid w:val="002038BE"/>
    <w:rsid w:val="00205B41"/>
    <w:rsid w:val="00205C14"/>
    <w:rsid w:val="002062EE"/>
    <w:rsid w:val="00210FD8"/>
    <w:rsid w:val="00217456"/>
    <w:rsid w:val="00221A60"/>
    <w:rsid w:val="002226D7"/>
    <w:rsid w:val="00223845"/>
    <w:rsid w:val="002239A1"/>
    <w:rsid w:val="002257DB"/>
    <w:rsid w:val="00227B29"/>
    <w:rsid w:val="00230156"/>
    <w:rsid w:val="002308B0"/>
    <w:rsid w:val="002429AB"/>
    <w:rsid w:val="00243A23"/>
    <w:rsid w:val="00244DF7"/>
    <w:rsid w:val="00247A93"/>
    <w:rsid w:val="00250E6D"/>
    <w:rsid w:val="00254E22"/>
    <w:rsid w:val="00255A47"/>
    <w:rsid w:val="00257671"/>
    <w:rsid w:val="0027177D"/>
    <w:rsid w:val="00271A4D"/>
    <w:rsid w:val="00271F67"/>
    <w:rsid w:val="00272367"/>
    <w:rsid w:val="002724AD"/>
    <w:rsid w:val="00272F33"/>
    <w:rsid w:val="002763AF"/>
    <w:rsid w:val="002773EA"/>
    <w:rsid w:val="00280202"/>
    <w:rsid w:val="002879F1"/>
    <w:rsid w:val="002910A0"/>
    <w:rsid w:val="002911B3"/>
    <w:rsid w:val="00297EB3"/>
    <w:rsid w:val="002A7808"/>
    <w:rsid w:val="002B1DC1"/>
    <w:rsid w:val="002B2855"/>
    <w:rsid w:val="002D27AF"/>
    <w:rsid w:val="002D2B34"/>
    <w:rsid w:val="002E5325"/>
    <w:rsid w:val="002E7114"/>
    <w:rsid w:val="002F1E62"/>
    <w:rsid w:val="002F4CD6"/>
    <w:rsid w:val="002F7F2E"/>
    <w:rsid w:val="00300CB4"/>
    <w:rsid w:val="003013E3"/>
    <w:rsid w:val="00306DB5"/>
    <w:rsid w:val="0031142E"/>
    <w:rsid w:val="00312C8D"/>
    <w:rsid w:val="0032053A"/>
    <w:rsid w:val="00321DC0"/>
    <w:rsid w:val="00324274"/>
    <w:rsid w:val="00324E86"/>
    <w:rsid w:val="003271D9"/>
    <w:rsid w:val="003317DB"/>
    <w:rsid w:val="003330F5"/>
    <w:rsid w:val="003352F4"/>
    <w:rsid w:val="003365E4"/>
    <w:rsid w:val="00340A64"/>
    <w:rsid w:val="00342125"/>
    <w:rsid w:val="003446E4"/>
    <w:rsid w:val="00345C0B"/>
    <w:rsid w:val="00350201"/>
    <w:rsid w:val="00352B2E"/>
    <w:rsid w:val="00353E36"/>
    <w:rsid w:val="003541ED"/>
    <w:rsid w:val="00356D6A"/>
    <w:rsid w:val="00360464"/>
    <w:rsid w:val="0036101C"/>
    <w:rsid w:val="00361140"/>
    <w:rsid w:val="003618EB"/>
    <w:rsid w:val="003640B8"/>
    <w:rsid w:val="00367AF7"/>
    <w:rsid w:val="003713BE"/>
    <w:rsid w:val="00372B59"/>
    <w:rsid w:val="00373791"/>
    <w:rsid w:val="00377E3F"/>
    <w:rsid w:val="003805F6"/>
    <w:rsid w:val="00380C47"/>
    <w:rsid w:val="00386D31"/>
    <w:rsid w:val="0039689C"/>
    <w:rsid w:val="003A5353"/>
    <w:rsid w:val="003A5734"/>
    <w:rsid w:val="003B1D93"/>
    <w:rsid w:val="003B469C"/>
    <w:rsid w:val="003B4A19"/>
    <w:rsid w:val="003B76D0"/>
    <w:rsid w:val="003C2D5E"/>
    <w:rsid w:val="003C46BA"/>
    <w:rsid w:val="003D06E2"/>
    <w:rsid w:val="003E09CF"/>
    <w:rsid w:val="003E2F34"/>
    <w:rsid w:val="003E45E1"/>
    <w:rsid w:val="003E4EA5"/>
    <w:rsid w:val="003E6400"/>
    <w:rsid w:val="003F1386"/>
    <w:rsid w:val="003F4C21"/>
    <w:rsid w:val="00400ADF"/>
    <w:rsid w:val="00400FDF"/>
    <w:rsid w:val="00401637"/>
    <w:rsid w:val="00405DEC"/>
    <w:rsid w:val="00414520"/>
    <w:rsid w:val="00414739"/>
    <w:rsid w:val="0042076A"/>
    <w:rsid w:val="004237C1"/>
    <w:rsid w:val="004300FD"/>
    <w:rsid w:val="004333A0"/>
    <w:rsid w:val="004337A1"/>
    <w:rsid w:val="00436986"/>
    <w:rsid w:val="00437424"/>
    <w:rsid w:val="00443754"/>
    <w:rsid w:val="00446A7B"/>
    <w:rsid w:val="00454F77"/>
    <w:rsid w:val="00461385"/>
    <w:rsid w:val="00464209"/>
    <w:rsid w:val="004675D5"/>
    <w:rsid w:val="004753DB"/>
    <w:rsid w:val="00476F06"/>
    <w:rsid w:val="004910D2"/>
    <w:rsid w:val="0049247E"/>
    <w:rsid w:val="004A3E6A"/>
    <w:rsid w:val="004A477F"/>
    <w:rsid w:val="004A68F7"/>
    <w:rsid w:val="004B7329"/>
    <w:rsid w:val="004C0D8B"/>
    <w:rsid w:val="004C1098"/>
    <w:rsid w:val="004D0F8C"/>
    <w:rsid w:val="004D3852"/>
    <w:rsid w:val="004D6F00"/>
    <w:rsid w:val="004D7F81"/>
    <w:rsid w:val="004E02C4"/>
    <w:rsid w:val="004E1AFA"/>
    <w:rsid w:val="004E2461"/>
    <w:rsid w:val="004E5779"/>
    <w:rsid w:val="004E5BEF"/>
    <w:rsid w:val="004E660B"/>
    <w:rsid w:val="004F616B"/>
    <w:rsid w:val="0050155F"/>
    <w:rsid w:val="00506E70"/>
    <w:rsid w:val="0051247B"/>
    <w:rsid w:val="0051384D"/>
    <w:rsid w:val="0051517E"/>
    <w:rsid w:val="0051530A"/>
    <w:rsid w:val="00520A3E"/>
    <w:rsid w:val="005222AA"/>
    <w:rsid w:val="0052506C"/>
    <w:rsid w:val="005313F2"/>
    <w:rsid w:val="0053760C"/>
    <w:rsid w:val="00537B31"/>
    <w:rsid w:val="00541680"/>
    <w:rsid w:val="00544581"/>
    <w:rsid w:val="00544AB5"/>
    <w:rsid w:val="00545456"/>
    <w:rsid w:val="00545AA9"/>
    <w:rsid w:val="005461C7"/>
    <w:rsid w:val="005503DB"/>
    <w:rsid w:val="00551B7A"/>
    <w:rsid w:val="005561CF"/>
    <w:rsid w:val="0055733A"/>
    <w:rsid w:val="0055779D"/>
    <w:rsid w:val="00560316"/>
    <w:rsid w:val="00562FBE"/>
    <w:rsid w:val="005657AE"/>
    <w:rsid w:val="00566BA4"/>
    <w:rsid w:val="005673A0"/>
    <w:rsid w:val="00571A7F"/>
    <w:rsid w:val="0057305B"/>
    <w:rsid w:val="0058406D"/>
    <w:rsid w:val="00584272"/>
    <w:rsid w:val="0059094F"/>
    <w:rsid w:val="005929EC"/>
    <w:rsid w:val="005954E6"/>
    <w:rsid w:val="00595A93"/>
    <w:rsid w:val="00595E38"/>
    <w:rsid w:val="005A21ED"/>
    <w:rsid w:val="005A2FDA"/>
    <w:rsid w:val="005B275B"/>
    <w:rsid w:val="005B58C1"/>
    <w:rsid w:val="005B58FF"/>
    <w:rsid w:val="005C1D89"/>
    <w:rsid w:val="005C3189"/>
    <w:rsid w:val="005C4EE8"/>
    <w:rsid w:val="005C7B57"/>
    <w:rsid w:val="005D0FD8"/>
    <w:rsid w:val="005D1A2A"/>
    <w:rsid w:val="005D282F"/>
    <w:rsid w:val="005D4468"/>
    <w:rsid w:val="005D5D18"/>
    <w:rsid w:val="005D5F63"/>
    <w:rsid w:val="005E33CB"/>
    <w:rsid w:val="005E668B"/>
    <w:rsid w:val="005E702B"/>
    <w:rsid w:val="005E7D34"/>
    <w:rsid w:val="00603F23"/>
    <w:rsid w:val="00610D5F"/>
    <w:rsid w:val="006114E2"/>
    <w:rsid w:val="00612CD8"/>
    <w:rsid w:val="00624EC3"/>
    <w:rsid w:val="00633B27"/>
    <w:rsid w:val="00635539"/>
    <w:rsid w:val="00637CC6"/>
    <w:rsid w:val="006404E7"/>
    <w:rsid w:val="0064221A"/>
    <w:rsid w:val="006426E1"/>
    <w:rsid w:val="00643679"/>
    <w:rsid w:val="006454E1"/>
    <w:rsid w:val="00646C3C"/>
    <w:rsid w:val="00646D9A"/>
    <w:rsid w:val="0064721E"/>
    <w:rsid w:val="0065005F"/>
    <w:rsid w:val="0065276C"/>
    <w:rsid w:val="00652DC3"/>
    <w:rsid w:val="0065662E"/>
    <w:rsid w:val="00673214"/>
    <w:rsid w:val="006732F2"/>
    <w:rsid w:val="00677745"/>
    <w:rsid w:val="006807D7"/>
    <w:rsid w:val="006820D7"/>
    <w:rsid w:val="006849FA"/>
    <w:rsid w:val="006853DA"/>
    <w:rsid w:val="006A6352"/>
    <w:rsid w:val="006A6BA6"/>
    <w:rsid w:val="006B08D9"/>
    <w:rsid w:val="006B1068"/>
    <w:rsid w:val="006B394F"/>
    <w:rsid w:val="006B3FFE"/>
    <w:rsid w:val="006B5A96"/>
    <w:rsid w:val="006B5B46"/>
    <w:rsid w:val="006B6031"/>
    <w:rsid w:val="006B723D"/>
    <w:rsid w:val="006B7A60"/>
    <w:rsid w:val="006C0184"/>
    <w:rsid w:val="006C2B33"/>
    <w:rsid w:val="006C3CBE"/>
    <w:rsid w:val="006C52D9"/>
    <w:rsid w:val="006C7A97"/>
    <w:rsid w:val="006F0AFA"/>
    <w:rsid w:val="006F19D8"/>
    <w:rsid w:val="006F68E5"/>
    <w:rsid w:val="006F6F1A"/>
    <w:rsid w:val="00703C91"/>
    <w:rsid w:val="0070516A"/>
    <w:rsid w:val="007111C3"/>
    <w:rsid w:val="007146D8"/>
    <w:rsid w:val="007149AD"/>
    <w:rsid w:val="007152F1"/>
    <w:rsid w:val="0071725A"/>
    <w:rsid w:val="00724B49"/>
    <w:rsid w:val="007251FB"/>
    <w:rsid w:val="007272E7"/>
    <w:rsid w:val="0072768C"/>
    <w:rsid w:val="00727709"/>
    <w:rsid w:val="007311F4"/>
    <w:rsid w:val="00731218"/>
    <w:rsid w:val="007349CE"/>
    <w:rsid w:val="00737F78"/>
    <w:rsid w:val="007428FC"/>
    <w:rsid w:val="00744979"/>
    <w:rsid w:val="007452F6"/>
    <w:rsid w:val="00753935"/>
    <w:rsid w:val="00754C50"/>
    <w:rsid w:val="0075642E"/>
    <w:rsid w:val="00756669"/>
    <w:rsid w:val="007579F2"/>
    <w:rsid w:val="007634E4"/>
    <w:rsid w:val="0077189C"/>
    <w:rsid w:val="00776263"/>
    <w:rsid w:val="007826C6"/>
    <w:rsid w:val="0078314D"/>
    <w:rsid w:val="00784442"/>
    <w:rsid w:val="00784626"/>
    <w:rsid w:val="00792DB2"/>
    <w:rsid w:val="00792FFD"/>
    <w:rsid w:val="00793722"/>
    <w:rsid w:val="00793941"/>
    <w:rsid w:val="007965FF"/>
    <w:rsid w:val="007974E3"/>
    <w:rsid w:val="007A1299"/>
    <w:rsid w:val="007A4C64"/>
    <w:rsid w:val="007A7588"/>
    <w:rsid w:val="007A76A9"/>
    <w:rsid w:val="007B0840"/>
    <w:rsid w:val="007B196E"/>
    <w:rsid w:val="007B441A"/>
    <w:rsid w:val="007B61EA"/>
    <w:rsid w:val="007C3024"/>
    <w:rsid w:val="007C58B5"/>
    <w:rsid w:val="007C59C9"/>
    <w:rsid w:val="007D28F2"/>
    <w:rsid w:val="007D291F"/>
    <w:rsid w:val="007D7796"/>
    <w:rsid w:val="007E64E3"/>
    <w:rsid w:val="007E655F"/>
    <w:rsid w:val="007F1B32"/>
    <w:rsid w:val="007F698E"/>
    <w:rsid w:val="00801FF1"/>
    <w:rsid w:val="00811EA0"/>
    <w:rsid w:val="00812AEA"/>
    <w:rsid w:val="008130E7"/>
    <w:rsid w:val="00814FAC"/>
    <w:rsid w:val="0081567A"/>
    <w:rsid w:val="0081579E"/>
    <w:rsid w:val="00820595"/>
    <w:rsid w:val="00821C9D"/>
    <w:rsid w:val="0082249B"/>
    <w:rsid w:val="00824391"/>
    <w:rsid w:val="0082512E"/>
    <w:rsid w:val="008267BA"/>
    <w:rsid w:val="0084204C"/>
    <w:rsid w:val="008439BD"/>
    <w:rsid w:val="008443C9"/>
    <w:rsid w:val="00844ED4"/>
    <w:rsid w:val="00846870"/>
    <w:rsid w:val="008524B1"/>
    <w:rsid w:val="008543D1"/>
    <w:rsid w:val="008610FD"/>
    <w:rsid w:val="00866820"/>
    <w:rsid w:val="008704C9"/>
    <w:rsid w:val="0087228B"/>
    <w:rsid w:val="008727FD"/>
    <w:rsid w:val="0088517A"/>
    <w:rsid w:val="008859F5"/>
    <w:rsid w:val="00892F58"/>
    <w:rsid w:val="00893391"/>
    <w:rsid w:val="00894C63"/>
    <w:rsid w:val="008A0ED6"/>
    <w:rsid w:val="008A23AA"/>
    <w:rsid w:val="008A3543"/>
    <w:rsid w:val="008A5F72"/>
    <w:rsid w:val="008B09EB"/>
    <w:rsid w:val="008B4F07"/>
    <w:rsid w:val="008B56CF"/>
    <w:rsid w:val="008C5F06"/>
    <w:rsid w:val="008C7E94"/>
    <w:rsid w:val="008D0777"/>
    <w:rsid w:val="008D0EE2"/>
    <w:rsid w:val="008D4D4F"/>
    <w:rsid w:val="008E0334"/>
    <w:rsid w:val="008E0E67"/>
    <w:rsid w:val="008E607D"/>
    <w:rsid w:val="008F0225"/>
    <w:rsid w:val="008F1ED2"/>
    <w:rsid w:val="008F1FA2"/>
    <w:rsid w:val="008F3AA0"/>
    <w:rsid w:val="009035F1"/>
    <w:rsid w:val="00904988"/>
    <w:rsid w:val="0091004E"/>
    <w:rsid w:val="00911CDC"/>
    <w:rsid w:val="00912810"/>
    <w:rsid w:val="00915AB8"/>
    <w:rsid w:val="009166F0"/>
    <w:rsid w:val="00921A8E"/>
    <w:rsid w:val="00925B6D"/>
    <w:rsid w:val="00925CBA"/>
    <w:rsid w:val="009260BE"/>
    <w:rsid w:val="00930415"/>
    <w:rsid w:val="009305F1"/>
    <w:rsid w:val="00934343"/>
    <w:rsid w:val="00936F2C"/>
    <w:rsid w:val="009435A2"/>
    <w:rsid w:val="0094779A"/>
    <w:rsid w:val="00955D11"/>
    <w:rsid w:val="00962E20"/>
    <w:rsid w:val="00963F03"/>
    <w:rsid w:val="009648F9"/>
    <w:rsid w:val="009665CD"/>
    <w:rsid w:val="00970464"/>
    <w:rsid w:val="00970DFF"/>
    <w:rsid w:val="0097700D"/>
    <w:rsid w:val="00981754"/>
    <w:rsid w:val="009828D7"/>
    <w:rsid w:val="00983675"/>
    <w:rsid w:val="00984721"/>
    <w:rsid w:val="00992C05"/>
    <w:rsid w:val="009957BF"/>
    <w:rsid w:val="0099614F"/>
    <w:rsid w:val="00997069"/>
    <w:rsid w:val="009974BE"/>
    <w:rsid w:val="00997660"/>
    <w:rsid w:val="009A5059"/>
    <w:rsid w:val="009A60BE"/>
    <w:rsid w:val="009A7833"/>
    <w:rsid w:val="009B280A"/>
    <w:rsid w:val="009B4107"/>
    <w:rsid w:val="009B4EB2"/>
    <w:rsid w:val="009B51AE"/>
    <w:rsid w:val="009B5CB3"/>
    <w:rsid w:val="009B7D56"/>
    <w:rsid w:val="009C1836"/>
    <w:rsid w:val="009C3428"/>
    <w:rsid w:val="009C3452"/>
    <w:rsid w:val="009C3759"/>
    <w:rsid w:val="009C3F98"/>
    <w:rsid w:val="009C6069"/>
    <w:rsid w:val="009D036B"/>
    <w:rsid w:val="009D0C65"/>
    <w:rsid w:val="009D3396"/>
    <w:rsid w:val="009E159F"/>
    <w:rsid w:val="009F2687"/>
    <w:rsid w:val="009F3931"/>
    <w:rsid w:val="00A02EA3"/>
    <w:rsid w:val="00A04042"/>
    <w:rsid w:val="00A06309"/>
    <w:rsid w:val="00A06ADC"/>
    <w:rsid w:val="00A07CFE"/>
    <w:rsid w:val="00A123EB"/>
    <w:rsid w:val="00A127CB"/>
    <w:rsid w:val="00A13A0D"/>
    <w:rsid w:val="00A25260"/>
    <w:rsid w:val="00A25BC4"/>
    <w:rsid w:val="00A27320"/>
    <w:rsid w:val="00A3476D"/>
    <w:rsid w:val="00A3576B"/>
    <w:rsid w:val="00A36DBC"/>
    <w:rsid w:val="00A41300"/>
    <w:rsid w:val="00A42C61"/>
    <w:rsid w:val="00A431B8"/>
    <w:rsid w:val="00A5419E"/>
    <w:rsid w:val="00A544D3"/>
    <w:rsid w:val="00A650C4"/>
    <w:rsid w:val="00A6733F"/>
    <w:rsid w:val="00A67453"/>
    <w:rsid w:val="00A71231"/>
    <w:rsid w:val="00A7366E"/>
    <w:rsid w:val="00A73857"/>
    <w:rsid w:val="00A73F33"/>
    <w:rsid w:val="00A75307"/>
    <w:rsid w:val="00A776DD"/>
    <w:rsid w:val="00A8041A"/>
    <w:rsid w:val="00A80D5A"/>
    <w:rsid w:val="00A813D6"/>
    <w:rsid w:val="00A81F2C"/>
    <w:rsid w:val="00A84C74"/>
    <w:rsid w:val="00A86087"/>
    <w:rsid w:val="00A93D0B"/>
    <w:rsid w:val="00A942FA"/>
    <w:rsid w:val="00A94C6E"/>
    <w:rsid w:val="00A96F42"/>
    <w:rsid w:val="00A97679"/>
    <w:rsid w:val="00AA011C"/>
    <w:rsid w:val="00AA21AF"/>
    <w:rsid w:val="00AA3043"/>
    <w:rsid w:val="00AA3578"/>
    <w:rsid w:val="00AA4CF9"/>
    <w:rsid w:val="00AA569D"/>
    <w:rsid w:val="00AB0A34"/>
    <w:rsid w:val="00AB3E38"/>
    <w:rsid w:val="00AB4B54"/>
    <w:rsid w:val="00AD0BE3"/>
    <w:rsid w:val="00AD2E64"/>
    <w:rsid w:val="00AD3C5B"/>
    <w:rsid w:val="00AE2FFC"/>
    <w:rsid w:val="00AF1195"/>
    <w:rsid w:val="00AF746E"/>
    <w:rsid w:val="00B00EB2"/>
    <w:rsid w:val="00B02E86"/>
    <w:rsid w:val="00B054EE"/>
    <w:rsid w:val="00B05C3C"/>
    <w:rsid w:val="00B123D8"/>
    <w:rsid w:val="00B1318A"/>
    <w:rsid w:val="00B15B11"/>
    <w:rsid w:val="00B20004"/>
    <w:rsid w:val="00B24EBD"/>
    <w:rsid w:val="00B25397"/>
    <w:rsid w:val="00B254BB"/>
    <w:rsid w:val="00B25580"/>
    <w:rsid w:val="00B26939"/>
    <w:rsid w:val="00B33600"/>
    <w:rsid w:val="00B35B70"/>
    <w:rsid w:val="00B41ECF"/>
    <w:rsid w:val="00B5518E"/>
    <w:rsid w:val="00B60FE3"/>
    <w:rsid w:val="00B62F01"/>
    <w:rsid w:val="00B64119"/>
    <w:rsid w:val="00B6605A"/>
    <w:rsid w:val="00B6612D"/>
    <w:rsid w:val="00B67E71"/>
    <w:rsid w:val="00B721D6"/>
    <w:rsid w:val="00B76D2F"/>
    <w:rsid w:val="00B82B40"/>
    <w:rsid w:val="00B83DFE"/>
    <w:rsid w:val="00B92DFC"/>
    <w:rsid w:val="00B92F92"/>
    <w:rsid w:val="00B943B1"/>
    <w:rsid w:val="00B9670C"/>
    <w:rsid w:val="00BA0143"/>
    <w:rsid w:val="00BA2792"/>
    <w:rsid w:val="00BA6096"/>
    <w:rsid w:val="00BA6442"/>
    <w:rsid w:val="00BA7F30"/>
    <w:rsid w:val="00BB19D8"/>
    <w:rsid w:val="00BB2B63"/>
    <w:rsid w:val="00BC2144"/>
    <w:rsid w:val="00BC3F9E"/>
    <w:rsid w:val="00BC46C6"/>
    <w:rsid w:val="00BD5AB1"/>
    <w:rsid w:val="00BE0905"/>
    <w:rsid w:val="00BE2FFA"/>
    <w:rsid w:val="00BE77C9"/>
    <w:rsid w:val="00BE7B1E"/>
    <w:rsid w:val="00BE7E30"/>
    <w:rsid w:val="00BF5C54"/>
    <w:rsid w:val="00BF6BCD"/>
    <w:rsid w:val="00C001FF"/>
    <w:rsid w:val="00C02BEC"/>
    <w:rsid w:val="00C0672F"/>
    <w:rsid w:val="00C06B91"/>
    <w:rsid w:val="00C10CC6"/>
    <w:rsid w:val="00C1135A"/>
    <w:rsid w:val="00C1272D"/>
    <w:rsid w:val="00C13745"/>
    <w:rsid w:val="00C20162"/>
    <w:rsid w:val="00C23489"/>
    <w:rsid w:val="00C2544F"/>
    <w:rsid w:val="00C321E8"/>
    <w:rsid w:val="00C45F84"/>
    <w:rsid w:val="00C502C7"/>
    <w:rsid w:val="00C5168A"/>
    <w:rsid w:val="00C518D5"/>
    <w:rsid w:val="00C52CA5"/>
    <w:rsid w:val="00C5678B"/>
    <w:rsid w:val="00C6005A"/>
    <w:rsid w:val="00C60EDB"/>
    <w:rsid w:val="00C64658"/>
    <w:rsid w:val="00C64969"/>
    <w:rsid w:val="00C67352"/>
    <w:rsid w:val="00C6746B"/>
    <w:rsid w:val="00C6775B"/>
    <w:rsid w:val="00C7027E"/>
    <w:rsid w:val="00C72215"/>
    <w:rsid w:val="00C77346"/>
    <w:rsid w:val="00C835C1"/>
    <w:rsid w:val="00C8583D"/>
    <w:rsid w:val="00C8640B"/>
    <w:rsid w:val="00C92820"/>
    <w:rsid w:val="00C92A82"/>
    <w:rsid w:val="00CA0E93"/>
    <w:rsid w:val="00CA37F4"/>
    <w:rsid w:val="00CA5C55"/>
    <w:rsid w:val="00CA7E6A"/>
    <w:rsid w:val="00CB0775"/>
    <w:rsid w:val="00CB38D0"/>
    <w:rsid w:val="00CB435B"/>
    <w:rsid w:val="00CB5D4C"/>
    <w:rsid w:val="00CB6FC8"/>
    <w:rsid w:val="00CC7243"/>
    <w:rsid w:val="00CD0A4C"/>
    <w:rsid w:val="00CD1747"/>
    <w:rsid w:val="00CE621F"/>
    <w:rsid w:val="00CE7764"/>
    <w:rsid w:val="00CF364F"/>
    <w:rsid w:val="00CF5094"/>
    <w:rsid w:val="00CF64F7"/>
    <w:rsid w:val="00D05E25"/>
    <w:rsid w:val="00D067A9"/>
    <w:rsid w:val="00D07DA2"/>
    <w:rsid w:val="00D1128D"/>
    <w:rsid w:val="00D128DE"/>
    <w:rsid w:val="00D1371C"/>
    <w:rsid w:val="00D14157"/>
    <w:rsid w:val="00D1442C"/>
    <w:rsid w:val="00D15B96"/>
    <w:rsid w:val="00D22442"/>
    <w:rsid w:val="00D262A7"/>
    <w:rsid w:val="00D26986"/>
    <w:rsid w:val="00D318CB"/>
    <w:rsid w:val="00D319F0"/>
    <w:rsid w:val="00D347AE"/>
    <w:rsid w:val="00D40A01"/>
    <w:rsid w:val="00D41678"/>
    <w:rsid w:val="00D43823"/>
    <w:rsid w:val="00D46743"/>
    <w:rsid w:val="00D47B7B"/>
    <w:rsid w:val="00D50863"/>
    <w:rsid w:val="00D516AC"/>
    <w:rsid w:val="00D533C2"/>
    <w:rsid w:val="00D54F8C"/>
    <w:rsid w:val="00D75355"/>
    <w:rsid w:val="00D753C1"/>
    <w:rsid w:val="00D77336"/>
    <w:rsid w:val="00D814B7"/>
    <w:rsid w:val="00D87150"/>
    <w:rsid w:val="00D902BF"/>
    <w:rsid w:val="00D90349"/>
    <w:rsid w:val="00D959B7"/>
    <w:rsid w:val="00D9624E"/>
    <w:rsid w:val="00DA09E6"/>
    <w:rsid w:val="00DA1A9F"/>
    <w:rsid w:val="00DA3C67"/>
    <w:rsid w:val="00DA5933"/>
    <w:rsid w:val="00DB11CD"/>
    <w:rsid w:val="00DB3A40"/>
    <w:rsid w:val="00DB4056"/>
    <w:rsid w:val="00DB499C"/>
    <w:rsid w:val="00DB7E87"/>
    <w:rsid w:val="00DC0EA5"/>
    <w:rsid w:val="00DD2012"/>
    <w:rsid w:val="00DD3B6B"/>
    <w:rsid w:val="00DE3287"/>
    <w:rsid w:val="00DF3FB3"/>
    <w:rsid w:val="00DF478A"/>
    <w:rsid w:val="00DF5514"/>
    <w:rsid w:val="00E02403"/>
    <w:rsid w:val="00E02C09"/>
    <w:rsid w:val="00E03992"/>
    <w:rsid w:val="00E13267"/>
    <w:rsid w:val="00E16630"/>
    <w:rsid w:val="00E22040"/>
    <w:rsid w:val="00E243BB"/>
    <w:rsid w:val="00E26FAD"/>
    <w:rsid w:val="00E27F4D"/>
    <w:rsid w:val="00E3043C"/>
    <w:rsid w:val="00E341C7"/>
    <w:rsid w:val="00E36E7C"/>
    <w:rsid w:val="00E436AE"/>
    <w:rsid w:val="00E5020D"/>
    <w:rsid w:val="00E5383C"/>
    <w:rsid w:val="00E56666"/>
    <w:rsid w:val="00E70A35"/>
    <w:rsid w:val="00E80515"/>
    <w:rsid w:val="00E8127D"/>
    <w:rsid w:val="00E82DEA"/>
    <w:rsid w:val="00E925B2"/>
    <w:rsid w:val="00E92FCB"/>
    <w:rsid w:val="00E95C47"/>
    <w:rsid w:val="00EA249D"/>
    <w:rsid w:val="00EA26F5"/>
    <w:rsid w:val="00EA2A1B"/>
    <w:rsid w:val="00EA44AF"/>
    <w:rsid w:val="00EA5460"/>
    <w:rsid w:val="00EB034A"/>
    <w:rsid w:val="00EB04FC"/>
    <w:rsid w:val="00EB091C"/>
    <w:rsid w:val="00EB5C3B"/>
    <w:rsid w:val="00EC09AD"/>
    <w:rsid w:val="00EC2B56"/>
    <w:rsid w:val="00EC4562"/>
    <w:rsid w:val="00ED114F"/>
    <w:rsid w:val="00ED25F2"/>
    <w:rsid w:val="00ED46C4"/>
    <w:rsid w:val="00ED7D76"/>
    <w:rsid w:val="00EE0FCF"/>
    <w:rsid w:val="00EE2905"/>
    <w:rsid w:val="00EE6279"/>
    <w:rsid w:val="00EE7C5A"/>
    <w:rsid w:val="00EF0304"/>
    <w:rsid w:val="00EF0EC3"/>
    <w:rsid w:val="00EF2F75"/>
    <w:rsid w:val="00EF3AE0"/>
    <w:rsid w:val="00EF4958"/>
    <w:rsid w:val="00F013A5"/>
    <w:rsid w:val="00F015D5"/>
    <w:rsid w:val="00F01DF5"/>
    <w:rsid w:val="00F032B2"/>
    <w:rsid w:val="00F11B9B"/>
    <w:rsid w:val="00F13EAA"/>
    <w:rsid w:val="00F154ED"/>
    <w:rsid w:val="00F211E0"/>
    <w:rsid w:val="00F22913"/>
    <w:rsid w:val="00F2543D"/>
    <w:rsid w:val="00F254DD"/>
    <w:rsid w:val="00F27C9C"/>
    <w:rsid w:val="00F338EA"/>
    <w:rsid w:val="00F37580"/>
    <w:rsid w:val="00F43051"/>
    <w:rsid w:val="00F46498"/>
    <w:rsid w:val="00F468B8"/>
    <w:rsid w:val="00F4763D"/>
    <w:rsid w:val="00F513C8"/>
    <w:rsid w:val="00F51490"/>
    <w:rsid w:val="00F52253"/>
    <w:rsid w:val="00F52EDC"/>
    <w:rsid w:val="00F7152D"/>
    <w:rsid w:val="00F71A0A"/>
    <w:rsid w:val="00F71CE6"/>
    <w:rsid w:val="00F8051F"/>
    <w:rsid w:val="00F824E7"/>
    <w:rsid w:val="00F845EE"/>
    <w:rsid w:val="00F906FF"/>
    <w:rsid w:val="00F926D3"/>
    <w:rsid w:val="00F92E94"/>
    <w:rsid w:val="00F93A97"/>
    <w:rsid w:val="00F96298"/>
    <w:rsid w:val="00FA0B2B"/>
    <w:rsid w:val="00FA7E6C"/>
    <w:rsid w:val="00FB0DFB"/>
    <w:rsid w:val="00FB4EFF"/>
    <w:rsid w:val="00FB6B4B"/>
    <w:rsid w:val="00FC450E"/>
    <w:rsid w:val="00FC7325"/>
    <w:rsid w:val="00FD13B6"/>
    <w:rsid w:val="00FD4E1A"/>
    <w:rsid w:val="00FD63D2"/>
    <w:rsid w:val="00FE0936"/>
    <w:rsid w:val="00FE1A94"/>
    <w:rsid w:val="00FE26E1"/>
    <w:rsid w:val="00FE7CC9"/>
    <w:rsid w:val="00FF417A"/>
  </w:rsids>
  <m:mathPr>
    <m:mathFont m:val="Cambria Math"/>
    <m:brkBin m:val="before"/>
    <m:brkBinSub m:val="--"/>
    <m:smallFrac m:val="0"/>
    <m:dispDef/>
    <m:lMargin m:val="0"/>
    <m:rMargin m:val="0"/>
    <m:defJc m:val="centerGroup"/>
    <m:wrapIndent m:val="1440"/>
    <m:intLim m:val="subSup"/>
    <m:naryLim m:val="undOvr"/>
  </m:mathPr>
  <w:themeFontLang w:val="sq-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0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q-AL" w:eastAsia="sq-A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CB5"/>
    <w:rPr>
      <w:rFonts w:ascii="Calibri" w:eastAsiaTheme="minorEastAsia" w:hAnsi="Calibri"/>
      <w:sz w:val="24"/>
    </w:rPr>
  </w:style>
  <w:style w:type="paragraph" w:styleId="Heading1">
    <w:name w:val="heading 1"/>
    <w:basedOn w:val="Normal"/>
    <w:link w:val="Heading1Char"/>
    <w:uiPriority w:val="1"/>
    <w:qFormat/>
    <w:rsid w:val="00C74ABD"/>
    <w:pPr>
      <w:widowControl w:val="0"/>
      <w:spacing w:before="51"/>
      <w:ind w:left="1902" w:hanging="426"/>
      <w:outlineLvl w:val="0"/>
    </w:pPr>
    <w:rPr>
      <w:rFonts w:ascii="Myriad Pro Light" w:eastAsia="Myriad Pro Light" w:hAnsi="Myriad Pro Light" w:cs="Times New Roman"/>
      <w:sz w:val="28"/>
    </w:rPr>
  </w:style>
  <w:style w:type="paragraph" w:styleId="Heading2">
    <w:name w:val="heading 2"/>
    <w:basedOn w:val="Normal"/>
    <w:link w:val="Heading2Char"/>
    <w:uiPriority w:val="1"/>
    <w:semiHidden/>
    <w:unhideWhenUsed/>
    <w:qFormat/>
    <w:rsid w:val="00C74ABD"/>
    <w:pPr>
      <w:widowControl w:val="0"/>
      <w:ind w:left="395"/>
      <w:outlineLvl w:val="1"/>
    </w:pPr>
    <w:rPr>
      <w:rFonts w:ascii="Myriad Pro" w:eastAsia="Myriad Pro" w:hAnsi="Myriad Pro" w:cs="Times New Roman"/>
      <w:b/>
      <w:sz w:val="19"/>
    </w:rPr>
  </w:style>
  <w:style w:type="paragraph" w:styleId="Heading3">
    <w:name w:val="heading 3"/>
    <w:basedOn w:val="Normal"/>
    <w:next w:val="Normal"/>
    <w:link w:val="Heading3Char"/>
    <w:uiPriority w:val="9"/>
    <w:semiHidden/>
    <w:unhideWhenUsed/>
    <w:qFormat/>
    <w:rsid w:val="00FB0DF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C74ABD"/>
    <w:rPr>
      <w:rFonts w:ascii="Myriad Pro Light" w:eastAsia="Myriad Pro Light" w:hAnsi="Myriad Pro Light" w:cs="Times New Roman"/>
      <w:sz w:val="28"/>
    </w:rPr>
  </w:style>
  <w:style w:type="character" w:customStyle="1" w:styleId="Heading2Char">
    <w:name w:val="Heading 2 Char"/>
    <w:basedOn w:val="DefaultParagraphFont"/>
    <w:link w:val="Heading2"/>
    <w:uiPriority w:val="1"/>
    <w:semiHidden/>
    <w:qFormat/>
    <w:rsid w:val="00C74ABD"/>
    <w:rPr>
      <w:rFonts w:ascii="Myriad Pro" w:eastAsia="Myriad Pro" w:hAnsi="Myriad Pro" w:cs="Times New Roman"/>
      <w:b/>
      <w:sz w:val="19"/>
    </w:rPr>
  </w:style>
  <w:style w:type="character" w:customStyle="1" w:styleId="InternetLink">
    <w:name w:val="Internet Link"/>
    <w:basedOn w:val="DefaultParagraphFont"/>
    <w:uiPriority w:val="99"/>
    <w:unhideWhenUsed/>
    <w:rsid w:val="00C74ABD"/>
    <w:rPr>
      <w:color w:val="0000FF"/>
      <w:u w:val="single"/>
    </w:rPr>
  </w:style>
  <w:style w:type="character" w:styleId="Strong">
    <w:name w:val="Strong"/>
    <w:basedOn w:val="DefaultParagraphFont"/>
    <w:uiPriority w:val="22"/>
    <w:qFormat/>
    <w:rsid w:val="00C74ABD"/>
    <w:rPr>
      <w:rFonts w:ascii="Times New Roman" w:hAnsi="Times New Roman" w:cs="Times New Roman"/>
      <w:b/>
    </w:rPr>
  </w:style>
  <w:style w:type="character" w:customStyle="1" w:styleId="FootnoteTextChar">
    <w:name w:val="Footnote Text Char"/>
    <w:aliases w:val="Footnote Text Char Char Char Char Char,Footnote Text Char Char Char1 Char,Fu§note Char Char,Footnote Char Char,Footnote Text Char1 Char Char Char,Footnote Text Char1 Char Char Char Char Char,FOOTNOTES Char Char,Fußnote Char,f Char"/>
    <w:basedOn w:val="DefaultParagraphFont"/>
    <w:link w:val="FootnoteText"/>
    <w:uiPriority w:val="99"/>
    <w:qFormat/>
    <w:rsid w:val="00C74ABD"/>
    <w:rPr>
      <w:rFonts w:eastAsiaTheme="minorEastAsia"/>
      <w:sz w:val="24"/>
    </w:rPr>
  </w:style>
  <w:style w:type="character" w:customStyle="1" w:styleId="FootnoteCharacters">
    <w:name w:val="Footnote Characters"/>
    <w:basedOn w:val="DefaultParagraphFont"/>
    <w:uiPriority w:val="99"/>
    <w:unhideWhenUsed/>
    <w:qFormat/>
    <w:rsid w:val="00C74ABD"/>
    <w:rPr>
      <w:vertAlign w:val="superscript"/>
    </w:rPr>
  </w:style>
  <w:style w:type="character" w:customStyle="1" w:styleId="FootnoteAnchor">
    <w:name w:val="Footnote Anchor"/>
    <w:rPr>
      <w:vertAlign w:val="superscript"/>
    </w:rPr>
  </w:style>
  <w:style w:type="character" w:customStyle="1" w:styleId="apple-converted-space">
    <w:name w:val="apple-converted-space"/>
    <w:basedOn w:val="DefaultParagraphFont"/>
    <w:qFormat/>
    <w:rsid w:val="00C74ABD"/>
  </w:style>
  <w:style w:type="character" w:customStyle="1" w:styleId="HeaderChar">
    <w:name w:val="Header Char"/>
    <w:basedOn w:val="DefaultParagraphFont"/>
    <w:link w:val="Header"/>
    <w:uiPriority w:val="99"/>
    <w:qFormat/>
    <w:rsid w:val="00C15AD6"/>
    <w:rPr>
      <w:rFonts w:eastAsiaTheme="minorEastAsia"/>
      <w:sz w:val="24"/>
    </w:rPr>
  </w:style>
  <w:style w:type="character" w:customStyle="1" w:styleId="FooterChar">
    <w:name w:val="Footer Char"/>
    <w:basedOn w:val="DefaultParagraphFont"/>
    <w:link w:val="Footer"/>
    <w:uiPriority w:val="99"/>
    <w:qFormat/>
    <w:rsid w:val="00C15AD6"/>
    <w:rPr>
      <w:rFonts w:eastAsiaTheme="minorEastAsia"/>
      <w:sz w:val="24"/>
    </w:rPr>
  </w:style>
  <w:style w:type="character" w:styleId="CommentReference">
    <w:name w:val="annotation reference"/>
    <w:basedOn w:val="DefaultParagraphFont"/>
    <w:uiPriority w:val="99"/>
    <w:semiHidden/>
    <w:unhideWhenUsed/>
    <w:qFormat/>
    <w:rsid w:val="00C15AD6"/>
    <w:rPr>
      <w:sz w:val="16"/>
    </w:rPr>
  </w:style>
  <w:style w:type="character" w:customStyle="1" w:styleId="CommentTextChar">
    <w:name w:val="Comment Text Char"/>
    <w:basedOn w:val="DefaultParagraphFont"/>
    <w:link w:val="CommentText"/>
    <w:uiPriority w:val="99"/>
    <w:semiHidden/>
    <w:qFormat/>
    <w:rsid w:val="00C15AD6"/>
    <w:rPr>
      <w:rFonts w:eastAsiaTheme="minorEastAsia"/>
      <w:sz w:val="20"/>
    </w:rPr>
  </w:style>
  <w:style w:type="character" w:customStyle="1" w:styleId="CommentSubjectChar">
    <w:name w:val="Comment Subject Char"/>
    <w:basedOn w:val="CommentTextChar"/>
    <w:link w:val="CommentSubject"/>
    <w:uiPriority w:val="99"/>
    <w:semiHidden/>
    <w:qFormat/>
    <w:rsid w:val="00C15AD6"/>
    <w:rPr>
      <w:rFonts w:eastAsiaTheme="minorEastAsia"/>
      <w:b/>
      <w:sz w:val="20"/>
    </w:rPr>
  </w:style>
  <w:style w:type="character" w:customStyle="1" w:styleId="UnresolvedMention1">
    <w:name w:val="Unresolved Mention1"/>
    <w:basedOn w:val="DefaultParagraphFont"/>
    <w:uiPriority w:val="99"/>
    <w:semiHidden/>
    <w:unhideWhenUsed/>
    <w:qFormat/>
    <w:rsid w:val="00856D02"/>
    <w:rPr>
      <w:color w:val="605E5C"/>
      <w:shd w:val="clear" w:color="auto" w:fill="E1DFDD"/>
    </w:rPr>
  </w:style>
  <w:style w:type="character" w:customStyle="1" w:styleId="BalloonTextChar">
    <w:name w:val="Balloon Text Char"/>
    <w:basedOn w:val="DefaultParagraphFont"/>
    <w:link w:val="BalloonText"/>
    <w:uiPriority w:val="99"/>
    <w:semiHidden/>
    <w:qFormat/>
    <w:rsid w:val="00D40A1A"/>
    <w:rPr>
      <w:rFonts w:ascii="Segoe UI" w:eastAsiaTheme="minorEastAsia" w:hAnsi="Segoe UI" w:cs="Segoe UI"/>
      <w:sz w:val="18"/>
    </w:rPr>
  </w:style>
  <w:style w:type="character" w:customStyle="1" w:styleId="UnresolvedMention2">
    <w:name w:val="Unresolved Mention2"/>
    <w:basedOn w:val="DefaultParagraphFont"/>
    <w:uiPriority w:val="99"/>
    <w:semiHidden/>
    <w:unhideWhenUsed/>
    <w:qFormat/>
    <w:rsid w:val="00F10AF6"/>
    <w:rPr>
      <w:color w:val="605E5C"/>
      <w:shd w:val="clear" w:color="auto" w:fill="E1DFDD"/>
    </w:rPr>
  </w:style>
  <w:style w:type="character" w:customStyle="1" w:styleId="UnresolvedMention3">
    <w:name w:val="Unresolved Mention3"/>
    <w:basedOn w:val="DefaultParagraphFont"/>
    <w:uiPriority w:val="99"/>
    <w:semiHidden/>
    <w:unhideWhenUsed/>
    <w:qFormat/>
    <w:rsid w:val="00E95FD0"/>
    <w:rPr>
      <w:color w:val="605E5C"/>
      <w:shd w:val="clear" w:color="auto" w:fill="E1DFDD"/>
    </w:rPr>
  </w:style>
  <w:style w:type="character" w:customStyle="1" w:styleId="ListLabel1">
    <w:name w:val="ListLabel 1"/>
    <w:qFormat/>
    <w:rPr>
      <w:color w:val="FF3300"/>
      <w:sz w:val="3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FF3300"/>
      <w:sz w:val="3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sz w:val="20"/>
    </w:rPr>
  </w:style>
  <w:style w:type="character" w:customStyle="1" w:styleId="ListLabel24">
    <w:name w:val="ListLabel 24"/>
    <w:qFormat/>
    <w:rPr>
      <w:rFonts w:cs="Times New Roman"/>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color w:val="FF3300"/>
      <w:sz w:val="32"/>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Times New Roman" w:hAnsi="Times New Roman" w:cs="Courier New"/>
      <w:b/>
      <w:sz w:val="22"/>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Times New Roman" w:hAnsi="Times New Roman" w:cs="Courier New"/>
      <w:sz w:val="22"/>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Times New Roman" w:hAnsi="Times New Roman" w:cs="Courier New"/>
      <w:sz w:val="22"/>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Times New Roman" w:hAnsi="Times New Roman" w:cs="Courier New"/>
      <w:sz w:val="22"/>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ascii="Times New Roman" w:hAnsi="Times New Roman"/>
      <w:b/>
      <w:sz w:val="22"/>
    </w:rPr>
  </w:style>
  <w:style w:type="character" w:customStyle="1" w:styleId="ListLabel60">
    <w:name w:val="ListLabel 60"/>
    <w:qFormat/>
    <w:rPr>
      <w:rFonts w:ascii="Times New Roman" w:hAnsi="Times New Roman" w:cs="Courier New"/>
      <w:sz w:val="22"/>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Times New Roman" w:hAnsi="Times New Roman" w:cs="Courier New"/>
      <w:sz w:val="22"/>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ascii="Times New Roman" w:hAnsi="Times New Roman" w:cs="Courier New"/>
      <w:sz w:val="22"/>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ascii="Times New Roman" w:hAnsi="Times New Roman"/>
      <w:b w:val="0"/>
      <w:i w:val="0"/>
      <w:color w:val="0070C0"/>
      <w:sz w:val="22"/>
    </w:rPr>
  </w:style>
  <w:style w:type="character" w:customStyle="1" w:styleId="ListLabel73">
    <w:name w:val="ListLabel 73"/>
    <w:qFormat/>
    <w:rPr>
      <w:rFonts w:ascii="Times New Roman" w:hAnsi="Times New Roman" w:cs="Courier New"/>
      <w:b/>
      <w:sz w:val="22"/>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ascii="Times New Roman" w:hAnsi="Times New Roman" w:cs="Times New Roman"/>
      <w:b/>
      <w:i/>
      <w:color w:val="0000FF"/>
      <w:sz w:val="28"/>
      <w:shd w:val="clear" w:color="auto" w:fill="FFFFFF"/>
      <w14:textFill>
        <w14:solidFill>
          <w14:srgbClr w14:val="0000FF">
            <w14:lumMod w14:val="75000"/>
          </w14:srgbClr>
        </w14:solidFill>
      </w14:textFill>
    </w:rPr>
  </w:style>
  <w:style w:type="character" w:customStyle="1" w:styleId="ListLabel78">
    <w:name w:val="ListLabel 78"/>
    <w:qFormat/>
    <w:rPr>
      <w:color w:val="1F4E79" w:themeColor="accent5" w:themeShade="80"/>
      <w:sz w:val="18"/>
      <w:shd w:val="clear" w:color="auto" w:fill="FFFFFF"/>
    </w:rPr>
  </w:style>
  <w:style w:type="character" w:customStyle="1" w:styleId="ListLabel79">
    <w:name w:val="ListLabel 79"/>
    <w:qFormat/>
    <w:rPr>
      <w:rFonts w:ascii="Times New Roman" w:hAnsi="Times New Roman" w:cs="Times New Roman"/>
      <w:color w:val="1F4E79" w:themeColor="accent5" w:themeShade="80"/>
      <w:sz w:val="22"/>
    </w:rPr>
  </w:style>
  <w:style w:type="paragraph" w:customStyle="1" w:styleId="Heading">
    <w:name w:val="Heading"/>
    <w:basedOn w:val="Normal"/>
    <w:next w:val="BodyText"/>
    <w:qFormat/>
    <w:pPr>
      <w:keepNext/>
      <w:spacing w:before="240" w:after="120"/>
    </w:pPr>
    <w:rPr>
      <w:rFonts w:ascii="Liberation Sans;Arial" w:eastAsia="Noto Sans CJK SC" w:hAnsi="Liberation Sans;Arial" w:cs="Lohit Devanagari"/>
      <w:sz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C74ABD"/>
    <w:pPr>
      <w:spacing w:beforeAutospacing="1" w:afterAutospacing="1"/>
    </w:pPr>
    <w:rPr>
      <w:rFonts w:ascii="Times New Roman" w:eastAsia="Times New Roman" w:hAnsi="Times New Roman" w:cs="Times New Roman"/>
    </w:rPr>
  </w:style>
  <w:style w:type="paragraph" w:styleId="TOC1">
    <w:name w:val="toc 1"/>
    <w:basedOn w:val="Normal"/>
    <w:next w:val="Normal"/>
    <w:autoRedefine/>
    <w:uiPriority w:val="39"/>
    <w:unhideWhenUsed/>
    <w:rsid w:val="00C74ABD"/>
    <w:pPr>
      <w:spacing w:before="360" w:after="360"/>
    </w:pPr>
    <w:rPr>
      <w:b/>
      <w:caps/>
      <w:sz w:val="22"/>
      <w:u w:val="single"/>
    </w:rPr>
  </w:style>
  <w:style w:type="paragraph" w:styleId="TOC2">
    <w:name w:val="toc 2"/>
    <w:basedOn w:val="Normal"/>
    <w:next w:val="Normal"/>
    <w:autoRedefine/>
    <w:uiPriority w:val="39"/>
    <w:unhideWhenUsed/>
    <w:rsid w:val="00C74ABD"/>
    <w:rPr>
      <w:b/>
      <w:smallCaps/>
      <w:sz w:val="22"/>
    </w:rPr>
  </w:style>
  <w:style w:type="paragraph" w:styleId="FootnoteText">
    <w:name w:val="footnote text"/>
    <w:aliases w:val="Footnote Text Char Char Char Char,Footnote Text Char Char Char1,Fu§note Char,Footnote Char,Footnote Text Char1 Char Char,Footnote Text Char1 Char Char Char Char,Footnote Text Char Char Char Char Char Char,FOOTNOTES Char,Fußnote,Footnote,f"/>
    <w:basedOn w:val="Normal"/>
    <w:link w:val="FootnoteTextChar"/>
    <w:uiPriority w:val="99"/>
    <w:unhideWhenUsed/>
    <w:qFormat/>
    <w:rsid w:val="00C74ABD"/>
  </w:style>
  <w:style w:type="paragraph" w:styleId="ListParagraph">
    <w:name w:val="List Paragraph"/>
    <w:basedOn w:val="Normal"/>
    <w:uiPriority w:val="34"/>
    <w:qFormat/>
    <w:rsid w:val="00C74ABD"/>
    <w:pPr>
      <w:ind w:left="720"/>
      <w:contextualSpacing/>
    </w:pPr>
  </w:style>
  <w:style w:type="paragraph" w:styleId="TOCHeading">
    <w:name w:val="TOC Heading"/>
    <w:basedOn w:val="Heading1"/>
    <w:next w:val="Normal"/>
    <w:uiPriority w:val="39"/>
    <w:semiHidden/>
    <w:unhideWhenUsed/>
    <w:qFormat/>
    <w:rsid w:val="00C74ABD"/>
    <w:pPr>
      <w:keepNext/>
      <w:keepLines/>
      <w:widowControl/>
      <w:spacing w:before="480" w:line="276" w:lineRule="auto"/>
      <w:ind w:left="0" w:firstLine="0"/>
    </w:pPr>
    <w:rPr>
      <w:rFonts w:asciiTheme="majorHAnsi" w:eastAsiaTheme="majorEastAsia" w:hAnsiTheme="majorHAnsi" w:cstheme="majorBidi"/>
      <w:b/>
      <w:color w:val="2F5496" w:themeColor="accent1" w:themeShade="BF"/>
    </w:rPr>
  </w:style>
  <w:style w:type="paragraph" w:customStyle="1" w:styleId="Default">
    <w:name w:val="Default"/>
    <w:qFormat/>
    <w:rsid w:val="00C74ABD"/>
    <w:pPr>
      <w:widowControl w:val="0"/>
    </w:pPr>
    <w:rPr>
      <w:rFonts w:ascii="Times New Roman" w:eastAsiaTheme="minorEastAsia" w:hAnsi="Times New Roman" w:cs="Times New Roman"/>
      <w:color w:val="000000"/>
      <w:sz w:val="24"/>
    </w:rPr>
  </w:style>
  <w:style w:type="paragraph" w:styleId="Header">
    <w:name w:val="header"/>
    <w:basedOn w:val="Normal"/>
    <w:link w:val="HeaderChar"/>
    <w:uiPriority w:val="99"/>
    <w:unhideWhenUsed/>
    <w:rsid w:val="00C15AD6"/>
    <w:pPr>
      <w:tabs>
        <w:tab w:val="center" w:pos="4513"/>
        <w:tab w:val="right" w:pos="9026"/>
      </w:tabs>
    </w:pPr>
  </w:style>
  <w:style w:type="paragraph" w:styleId="Footer">
    <w:name w:val="footer"/>
    <w:basedOn w:val="Normal"/>
    <w:link w:val="FooterChar"/>
    <w:uiPriority w:val="99"/>
    <w:unhideWhenUsed/>
    <w:rsid w:val="00C15AD6"/>
    <w:pPr>
      <w:tabs>
        <w:tab w:val="center" w:pos="4513"/>
        <w:tab w:val="right" w:pos="9026"/>
      </w:tabs>
    </w:pPr>
  </w:style>
  <w:style w:type="paragraph" w:styleId="CommentText">
    <w:name w:val="annotation text"/>
    <w:basedOn w:val="Normal"/>
    <w:link w:val="CommentTextChar"/>
    <w:uiPriority w:val="99"/>
    <w:semiHidden/>
    <w:unhideWhenUsed/>
    <w:qFormat/>
    <w:rsid w:val="00C15AD6"/>
    <w:rPr>
      <w:sz w:val="20"/>
    </w:rPr>
  </w:style>
  <w:style w:type="paragraph" w:styleId="CommentSubject">
    <w:name w:val="annotation subject"/>
    <w:basedOn w:val="CommentText"/>
    <w:link w:val="CommentSubjectChar"/>
    <w:uiPriority w:val="99"/>
    <w:semiHidden/>
    <w:unhideWhenUsed/>
    <w:qFormat/>
    <w:rsid w:val="00C15AD6"/>
    <w:rPr>
      <w:b/>
    </w:rPr>
  </w:style>
  <w:style w:type="paragraph" w:styleId="BalloonText">
    <w:name w:val="Balloon Text"/>
    <w:basedOn w:val="Normal"/>
    <w:link w:val="BalloonTextChar"/>
    <w:uiPriority w:val="99"/>
    <w:semiHidden/>
    <w:unhideWhenUsed/>
    <w:qFormat/>
    <w:rsid w:val="00D40A1A"/>
    <w:rPr>
      <w:rFonts w:ascii="Segoe UI" w:hAnsi="Segoe UI" w:cs="Segoe UI"/>
      <w:sz w:val="18"/>
    </w:rPr>
  </w:style>
  <w:style w:type="table" w:styleId="TableGrid">
    <w:name w:val="Table Grid"/>
    <w:basedOn w:val="TableNormal"/>
    <w:uiPriority w:val="59"/>
    <w:rsid w:val="00C74ABD"/>
    <w:rPr>
      <w:rFonts w:eastAsiaTheme="minorEastAsia"/>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C74ABD"/>
    <w:rPr>
      <w:sz w:val="24"/>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1">
    <w:name w:val="Table Grid1"/>
    <w:basedOn w:val="TableNormal"/>
    <w:uiPriority w:val="59"/>
    <w:rsid w:val="0040219B"/>
    <w:rPr>
      <w:rFonts w:eastAsiaTheme="minorEastAsia"/>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5F397F"/>
    <w:rPr>
      <w:rFonts w:eastAsiaTheme="minorEastAsia"/>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Appel note de bas de p..BVI fnr Car Car Car Car,BVI fnr Car Car,BVI fnr Car,BVI fnr Car Car Car Car,BVI fnr Car Car Car Car Char,BVI fnr"/>
    <w:basedOn w:val="DefaultParagraphFont"/>
    <w:link w:val="Char2"/>
    <w:uiPriority w:val="99"/>
    <w:unhideWhenUsed/>
    <w:rsid w:val="004237C1"/>
    <w:rPr>
      <w:vertAlign w:val="superscript"/>
    </w:rPr>
  </w:style>
  <w:style w:type="character" w:styleId="Hyperlink">
    <w:name w:val="Hyperlink"/>
    <w:basedOn w:val="DefaultParagraphFont"/>
    <w:uiPriority w:val="99"/>
    <w:unhideWhenUsed/>
    <w:rsid w:val="00F52EDC"/>
    <w:rPr>
      <w:color w:val="0563C1" w:themeColor="hyperlink"/>
      <w:u w:val="single"/>
    </w:rPr>
  </w:style>
  <w:style w:type="paragraph" w:styleId="Revision">
    <w:name w:val="Revision"/>
    <w:hidden/>
    <w:uiPriority w:val="99"/>
    <w:semiHidden/>
    <w:rsid w:val="006A6352"/>
    <w:rPr>
      <w:rFonts w:ascii="Calibri" w:eastAsiaTheme="minorEastAsia" w:hAnsi="Calibri"/>
      <w:sz w:val="24"/>
    </w:rPr>
  </w:style>
  <w:style w:type="paragraph" w:customStyle="1" w:styleId="Guidelines2">
    <w:name w:val="Guidelines 2"/>
    <w:basedOn w:val="Normal"/>
    <w:next w:val="Normal"/>
    <w:autoRedefine/>
    <w:qFormat/>
    <w:rsid w:val="006B5B46"/>
    <w:pPr>
      <w:spacing w:before="360" w:after="240"/>
      <w:jc w:val="both"/>
      <w:outlineLvl w:val="0"/>
    </w:pPr>
    <w:rPr>
      <w:rFonts w:ascii="Times New Roman Bold" w:eastAsia="Times New Roman" w:hAnsi="Times New Roman Bold" w:cs="Times New Roman"/>
      <w:b/>
      <w:caps/>
      <w:color w:val="002060"/>
      <w:sz w:val="28"/>
    </w:rPr>
  </w:style>
  <w:style w:type="character" w:customStyle="1" w:styleId="Heading3Char">
    <w:name w:val="Heading 3 Char"/>
    <w:basedOn w:val="DefaultParagraphFont"/>
    <w:link w:val="Heading3"/>
    <w:uiPriority w:val="9"/>
    <w:rsid w:val="00FB0DFB"/>
    <w:rPr>
      <w:rFonts w:asciiTheme="majorHAnsi" w:eastAsiaTheme="majorEastAsia" w:hAnsiTheme="majorHAnsi" w:cstheme="majorBidi"/>
      <w:color w:val="1F3763" w:themeColor="accent1" w:themeShade="7F"/>
      <w:sz w:val="24"/>
    </w:rPr>
  </w:style>
  <w:style w:type="paragraph" w:customStyle="1" w:styleId="Char2">
    <w:name w:val="Char2"/>
    <w:basedOn w:val="Normal"/>
    <w:link w:val="FootnoteReference"/>
    <w:uiPriority w:val="99"/>
    <w:rsid w:val="00C64658"/>
    <w:pPr>
      <w:spacing w:before="120" w:after="160" w:line="240" w:lineRule="exact"/>
    </w:pPr>
    <w:rPr>
      <w:rFonts w:asciiTheme="minorHAnsi" w:eastAsiaTheme="minorHAnsi" w:hAnsiTheme="minorHAnsi"/>
      <w:sz w:val="20"/>
      <w:vertAlign w:val="superscript"/>
    </w:rPr>
  </w:style>
  <w:style w:type="paragraph" w:customStyle="1" w:styleId="Guidelines1">
    <w:name w:val="Guidelines 1"/>
    <w:basedOn w:val="Normal"/>
    <w:autoRedefine/>
    <w:qFormat/>
    <w:rsid w:val="0084204C"/>
    <w:pPr>
      <w:widowControl w:val="0"/>
      <w:numPr>
        <w:numId w:val="13"/>
      </w:numPr>
      <w:tabs>
        <w:tab w:val="num" w:pos="283"/>
        <w:tab w:val="num" w:pos="567"/>
      </w:tabs>
      <w:spacing w:after="360"/>
      <w:ind w:left="567" w:hanging="567"/>
      <w:jc w:val="both"/>
    </w:pPr>
    <w:rPr>
      <w:rFonts w:ascii="Times New Roman Bold" w:eastAsia="Times New Roman" w:hAnsi="Times New Roman Bold" w:cs="Times New Roman"/>
      <w:b/>
      <w:caps/>
      <w:sz w:val="22"/>
    </w:rPr>
  </w:style>
  <w:style w:type="character" w:customStyle="1" w:styleId="markedcontent">
    <w:name w:val="markedcontent"/>
    <w:basedOn w:val="DefaultParagraphFont"/>
    <w:rsid w:val="00652DC3"/>
  </w:style>
  <w:style w:type="character" w:styleId="FollowedHyperlink">
    <w:name w:val="FollowedHyperlink"/>
    <w:basedOn w:val="DefaultParagraphFont"/>
    <w:uiPriority w:val="99"/>
    <w:semiHidden/>
    <w:unhideWhenUsed/>
    <w:rsid w:val="00464209"/>
    <w:rPr>
      <w:color w:val="954F72" w:themeColor="followedHyperlink"/>
      <w:u w:val="single"/>
    </w:rPr>
  </w:style>
  <w:style w:type="character" w:customStyle="1" w:styleId="UnresolvedMention4">
    <w:name w:val="Unresolved Mention4"/>
    <w:basedOn w:val="DefaultParagraphFont"/>
    <w:uiPriority w:val="99"/>
    <w:semiHidden/>
    <w:unhideWhenUsed/>
    <w:rsid w:val="00464209"/>
    <w:rPr>
      <w:color w:val="605E5C"/>
      <w:shd w:val="clear" w:color="auto" w:fill="E1DFDD"/>
    </w:rPr>
  </w:style>
  <w:style w:type="table" w:customStyle="1" w:styleId="Calendar2">
    <w:name w:val="Calendar 2"/>
    <w:basedOn w:val="TableNormal"/>
    <w:uiPriority w:val="99"/>
    <w:qFormat/>
    <w:rsid w:val="000E7EF9"/>
    <w:pPr>
      <w:jc w:val="center"/>
    </w:pPr>
    <w:rPr>
      <w:rFonts w:eastAsiaTheme="minorEastAsia"/>
      <w:sz w:val="28"/>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customStyle="1" w:styleId="P68B1DB1-Normal1">
    <w:name w:val="P68B1DB1-Normal1"/>
    <w:basedOn w:val="Normal"/>
    <w:rPr>
      <w:rFonts w:ascii="Arial" w:hAnsi="Arial" w:cs="Arial"/>
    </w:rPr>
  </w:style>
  <w:style w:type="paragraph" w:customStyle="1" w:styleId="P68B1DB1-Normal2">
    <w:name w:val="P68B1DB1-Normal2"/>
    <w:basedOn w:val="Normal"/>
    <w:rPr>
      <w:rFonts w:ascii="Times New Roman" w:hAnsi="Times New Roman" w:cs="Times New Roman"/>
      <w:b/>
      <w:i/>
      <w:color w:val="1F4E79" w:themeColor="accent5" w:themeShade="80"/>
      <w:sz w:val="52"/>
      <w:shd w:val="clear" w:color="auto" w:fill="FFFFFF"/>
    </w:rPr>
  </w:style>
  <w:style w:type="paragraph" w:customStyle="1" w:styleId="P68B1DB1-Normal3">
    <w:name w:val="P68B1DB1-Normal3"/>
    <w:basedOn w:val="Normal"/>
    <w:rPr>
      <w:rFonts w:ascii="Times New Roman" w:hAnsi="Times New Roman" w:cs="Times New Roman"/>
      <w:i/>
      <w:color w:val="1F4E79" w:themeColor="accent5" w:themeShade="80"/>
      <w:sz w:val="36"/>
      <w:shd w:val="clear" w:color="auto" w:fill="FFFFFF"/>
    </w:rPr>
  </w:style>
  <w:style w:type="paragraph" w:customStyle="1" w:styleId="P68B1DB1-Normal4">
    <w:name w:val="P68B1DB1-Normal4"/>
    <w:basedOn w:val="Normal"/>
    <w:rPr>
      <w:rFonts w:ascii="Times New Roman Bold" w:hAnsi="Times New Roman Bold" w:cs="Times New Roman"/>
      <w:b/>
      <w:i/>
      <w:caps/>
      <w:color w:val="1F4E79" w:themeColor="accent5" w:themeShade="80"/>
      <w:sz w:val="44"/>
      <w:shd w:val="clear" w:color="auto" w:fill="FFFFFF"/>
    </w:rPr>
  </w:style>
  <w:style w:type="paragraph" w:customStyle="1" w:styleId="P68B1DB1-Normal5">
    <w:name w:val="P68B1DB1-Normal5"/>
    <w:basedOn w:val="Normal"/>
    <w:rPr>
      <w:rFonts w:ascii="Times New Roman" w:hAnsi="Times New Roman" w:cs="Times New Roman"/>
      <w:b/>
      <w:i/>
      <w:color w:val="1F4E79" w:themeColor="accent5" w:themeShade="80"/>
      <w:highlight w:val="white"/>
    </w:rPr>
  </w:style>
  <w:style w:type="paragraph" w:customStyle="1" w:styleId="P68B1DB1-ListParagraph6">
    <w:name w:val="P68B1DB1-ListParagraph6"/>
    <w:basedOn w:val="ListParagraph"/>
    <w:rPr>
      <w:rFonts w:ascii="Times New Roman" w:hAnsi="Times New Roman" w:cs="Times New Roman"/>
      <w:sz w:val="22"/>
      <w:highlight w:val="yellow"/>
    </w:rPr>
  </w:style>
  <w:style w:type="paragraph" w:customStyle="1" w:styleId="P68B1DB1-Normal7">
    <w:name w:val="P68B1DB1-Normal7"/>
    <w:basedOn w:val="Normal"/>
    <w:rPr>
      <w:rFonts w:ascii="Times New Roman" w:hAnsi="Times New Roman" w:cs="Times New Roman"/>
      <w:sz w:val="22"/>
    </w:rPr>
  </w:style>
  <w:style w:type="paragraph" w:customStyle="1" w:styleId="P68B1DB1-Normal8">
    <w:name w:val="P68B1DB1-Normal8"/>
    <w:basedOn w:val="Normal"/>
    <w:rPr>
      <w:rFonts w:ascii="Times New Roman" w:hAnsi="Times New Roman" w:cs="Times New Roman"/>
      <w:b/>
      <w:u w:val="single"/>
    </w:rPr>
  </w:style>
  <w:style w:type="paragraph" w:customStyle="1" w:styleId="P68B1DB1-Normal9">
    <w:name w:val="P68B1DB1-Normal9"/>
    <w:basedOn w:val="Normal"/>
    <w:rPr>
      <w:rFonts w:ascii="Times New Roman" w:hAnsi="Times New Roman" w:cs="Times New Roman"/>
      <w:b/>
    </w:rPr>
  </w:style>
  <w:style w:type="paragraph" w:customStyle="1" w:styleId="P68B1DB1-Normal10">
    <w:name w:val="P68B1DB1-Normal10"/>
    <w:basedOn w:val="Normal"/>
    <w:rPr>
      <w:rFonts w:ascii="Times New Roman" w:hAnsi="Times New Roman" w:cs="Times New Roman"/>
      <w:sz w:val="22"/>
      <w:shd w:val="clear" w:color="auto" w:fill="FFFFFF"/>
    </w:rPr>
  </w:style>
  <w:style w:type="paragraph" w:customStyle="1" w:styleId="P68B1DB1-Normal11">
    <w:name w:val="P68B1DB1-Normal11"/>
    <w:basedOn w:val="Normal"/>
    <w:rPr>
      <w:rFonts w:ascii="Times New Roman" w:hAnsi="Times New Roman" w:cs="Times New Roman"/>
      <w:b/>
      <w:sz w:val="22"/>
      <w:shd w:val="clear" w:color="auto" w:fill="FFFFFF"/>
    </w:rPr>
  </w:style>
  <w:style w:type="paragraph" w:customStyle="1" w:styleId="P68B1DB1-Normal12">
    <w:name w:val="P68B1DB1-Normal12"/>
    <w:basedOn w:val="Normal"/>
    <w:rPr>
      <w:rFonts w:ascii="Times New Roman" w:hAnsi="Times New Roman" w:cs="Times New Roman"/>
      <w:sz w:val="22"/>
      <w:u w:val="single"/>
      <w:shd w:val="clear" w:color="auto" w:fill="FFFFFF"/>
    </w:rPr>
  </w:style>
  <w:style w:type="paragraph" w:customStyle="1" w:styleId="P68B1DB1-Normal13">
    <w:name w:val="P68B1DB1-Normal13"/>
    <w:basedOn w:val="Normal"/>
    <w:rPr>
      <w:sz w:val="22"/>
    </w:rPr>
  </w:style>
  <w:style w:type="paragraph" w:customStyle="1" w:styleId="P68B1DB1-Normal14">
    <w:name w:val="P68B1DB1-Normal14"/>
    <w:basedOn w:val="Normal"/>
    <w:rPr>
      <w:i/>
      <w:sz w:val="22"/>
    </w:rPr>
  </w:style>
  <w:style w:type="paragraph" w:customStyle="1" w:styleId="P68B1DB1-Normal15">
    <w:name w:val="P68B1DB1-Normal15"/>
    <w:basedOn w:val="Normal"/>
    <w:rPr>
      <w:rFonts w:ascii="Times New Roman" w:hAnsi="Times New Roman" w:cs="Times New Roman"/>
      <w:b/>
      <w:i/>
      <w:color w:val="1F4E79" w:themeColor="accent5" w:themeShade="80"/>
      <w:shd w:val="clear" w:color="auto" w:fill="FFFFFF"/>
    </w:rPr>
  </w:style>
  <w:style w:type="paragraph" w:customStyle="1" w:styleId="P68B1DB1-NormalWeb16">
    <w:name w:val="P68B1DB1-NormalWeb16"/>
    <w:basedOn w:val="NormalWeb"/>
    <w:rPr>
      <w:sz w:val="22"/>
      <w:shd w:val="clear" w:color="auto" w:fill="FFFFFF"/>
    </w:rPr>
  </w:style>
  <w:style w:type="paragraph" w:customStyle="1" w:styleId="P68B1DB1-NormalWeb17">
    <w:name w:val="P68B1DB1-NormalWeb17"/>
    <w:basedOn w:val="NormalWeb"/>
    <w:rPr>
      <w:sz w:val="22"/>
      <w:highlight w:val="white"/>
    </w:rPr>
  </w:style>
  <w:style w:type="paragraph" w:customStyle="1" w:styleId="P68B1DB1-Normal18">
    <w:name w:val="P68B1DB1-Normal18"/>
    <w:basedOn w:val="Normal"/>
    <w:rPr>
      <w:rFonts w:ascii="Times New Roman" w:eastAsiaTheme="minorHAnsi" w:hAnsi="Times New Roman" w:cs="Times New Roman"/>
      <w:sz w:val="22"/>
    </w:rPr>
  </w:style>
  <w:style w:type="paragraph" w:customStyle="1" w:styleId="P68B1DB1-Normal19">
    <w:name w:val="P68B1DB1-Normal19"/>
    <w:basedOn w:val="Normal"/>
    <w:rPr>
      <w:rFonts w:ascii="Times New Roman" w:eastAsia="Times New Roman" w:hAnsi="Times New Roman" w:cs="Times New Roman"/>
      <w:i/>
      <w:u w:val="single"/>
    </w:rPr>
  </w:style>
  <w:style w:type="paragraph" w:customStyle="1" w:styleId="P68B1DB1-Normal20">
    <w:name w:val="P68B1DB1-Normal20"/>
    <w:basedOn w:val="Normal"/>
    <w:rPr>
      <w:rFonts w:ascii="Times New Roman" w:eastAsia="Times New Roman" w:hAnsi="Times New Roman" w:cs="Times New Roman"/>
      <w:sz w:val="22"/>
    </w:rPr>
  </w:style>
  <w:style w:type="paragraph" w:customStyle="1" w:styleId="P68B1DB1-ListParagraph21">
    <w:name w:val="P68B1DB1-ListParagraph21"/>
    <w:basedOn w:val="ListParagraph"/>
    <w:rPr>
      <w:rFonts w:ascii="Times New Roman" w:hAnsi="Times New Roman" w:cs="Times New Roman"/>
      <w:b/>
      <w:sz w:val="22"/>
    </w:rPr>
  </w:style>
  <w:style w:type="paragraph" w:customStyle="1" w:styleId="P68B1DB1-ListParagraph22">
    <w:name w:val="P68B1DB1-ListParagraph22"/>
    <w:basedOn w:val="ListParagraph"/>
    <w:rPr>
      <w:rFonts w:ascii="Times New Roman" w:hAnsi="Times New Roman" w:cs="Times New Roman"/>
      <w:sz w:val="22"/>
    </w:rPr>
  </w:style>
  <w:style w:type="paragraph" w:customStyle="1" w:styleId="P68B1DB1-Normal23">
    <w:name w:val="P68B1DB1-Normal23"/>
    <w:basedOn w:val="Normal"/>
    <w:rPr>
      <w:rFonts w:ascii="Times New Roman" w:hAnsi="Times New Roman" w:cs="Times New Roman"/>
      <w:i/>
      <w:u w:val="single"/>
    </w:rPr>
  </w:style>
  <w:style w:type="paragraph" w:customStyle="1" w:styleId="P68B1DB1-FootnoteText24">
    <w:name w:val="P68B1DB1-FootnoteText24"/>
    <w:basedOn w:val="FootnoteText"/>
    <w:rPr>
      <w:rFonts w:ascii="Times New Roman" w:hAnsi="Times New Roman" w:cs="Times New Roman"/>
      <w:sz w:val="18"/>
    </w:rPr>
  </w:style>
  <w:style w:type="paragraph" w:customStyle="1" w:styleId="P68B1DB1-Footer25">
    <w:name w:val="P68B1DB1-Footer25"/>
    <w:basedOn w:val="Footer"/>
    <w:rPr>
      <w:rFonts w:ascii="Times New Roman" w:hAnsi="Times New Roman" w:cs="Times New Roman"/>
      <w:caps/>
      <w:sz w:val="22"/>
    </w:rPr>
  </w:style>
  <w:style w:type="paragraph" w:customStyle="1" w:styleId="P68B1DB1-Footer26">
    <w:name w:val="P68B1DB1-Footer26"/>
    <w:basedOn w:val="Footer"/>
    <w:rPr>
      <w:rFonts w:ascii="Times New Roman" w:hAnsi="Times New Roman" w:cs="Times New Roman"/>
      <w:sz w:val="22"/>
      <w:highlight w:val="whit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89616">
      <w:bodyDiv w:val="1"/>
      <w:marLeft w:val="0"/>
      <w:marRight w:val="0"/>
      <w:marTop w:val="0"/>
      <w:marBottom w:val="0"/>
      <w:divBdr>
        <w:top w:val="none" w:sz="0" w:space="0" w:color="auto"/>
        <w:left w:val="none" w:sz="0" w:space="0" w:color="auto"/>
        <w:bottom w:val="none" w:sz="0" w:space="0" w:color="auto"/>
        <w:right w:val="none" w:sz="0" w:space="0" w:color="auto"/>
      </w:divBdr>
    </w:div>
    <w:div w:id="883297974">
      <w:bodyDiv w:val="1"/>
      <w:marLeft w:val="0"/>
      <w:marRight w:val="0"/>
      <w:marTop w:val="0"/>
      <w:marBottom w:val="0"/>
      <w:divBdr>
        <w:top w:val="none" w:sz="0" w:space="0" w:color="auto"/>
        <w:left w:val="none" w:sz="0" w:space="0" w:color="auto"/>
        <w:bottom w:val="none" w:sz="0" w:space="0" w:color="auto"/>
        <w:right w:val="none" w:sz="0" w:space="0" w:color="auto"/>
      </w:divBdr>
    </w:div>
    <w:div w:id="1120762209">
      <w:bodyDiv w:val="1"/>
      <w:marLeft w:val="0"/>
      <w:marRight w:val="0"/>
      <w:marTop w:val="0"/>
      <w:marBottom w:val="0"/>
      <w:divBdr>
        <w:top w:val="none" w:sz="0" w:space="0" w:color="auto"/>
        <w:left w:val="none" w:sz="0" w:space="0" w:color="auto"/>
        <w:bottom w:val="none" w:sz="0" w:space="0" w:color="auto"/>
        <w:right w:val="none" w:sz="0" w:space="0" w:color="auto"/>
      </w:divBdr>
    </w:div>
    <w:div w:id="1969357574">
      <w:bodyDiv w:val="1"/>
      <w:marLeft w:val="0"/>
      <w:marRight w:val="0"/>
      <w:marTop w:val="0"/>
      <w:marBottom w:val="0"/>
      <w:divBdr>
        <w:top w:val="none" w:sz="0" w:space="0" w:color="auto"/>
        <w:left w:val="none" w:sz="0" w:space="0" w:color="auto"/>
        <w:bottom w:val="none" w:sz="0" w:space="0" w:color="auto"/>
        <w:right w:val="none" w:sz="0" w:space="0" w:color="auto"/>
      </w:divBdr>
    </w:div>
    <w:div w:id="2060856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4CR.m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4CR.m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4CR.mk/" TargetMode="External"/><Relationship Id="rId5" Type="http://schemas.openxmlformats.org/officeDocument/2006/relationships/webSettings" Target="webSettings.xml"/><Relationship Id="rId15" Type="http://schemas.openxmlformats.org/officeDocument/2006/relationships/hyperlink" Target="http://www.EU4CR.mk/" TargetMode="External"/><Relationship Id="rId10" Type="http://schemas.openxmlformats.org/officeDocument/2006/relationships/hyperlink" Target="https://rcgo.mk/wp-content/uploads/2018/10/Zakon-za-zdruzhenija-i-fondacii.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4CR.mk/" TargetMode="External"/><Relationship Id="rId14" Type="http://schemas.openxmlformats.org/officeDocument/2006/relationships/hyperlink" Target="mailto:crm-helpdesk@eu4cr.m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register.consilium.europa.eu/doc/srv?l=EN&amp;f=ST%209489%202014%20INIT" TargetMode="External"/><Relationship Id="rId1" Type="http://schemas.openxmlformats.org/officeDocument/2006/relationships/hyperlink" Target="https://rcgo.mk/wp-content/uploads/2018/10/Zakon-za-zdruzhenija-i-fondac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0FEEF-A60F-48CA-9650-91215CFE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2022-09-27T12:24:00Z</dcterms:created>
  <dcterms:modified xsi:type="dcterms:W3CDTF">2022-10-06T21:14:00Z</dcterms:modified>
  <dc:language/>
</cp:coreProperties>
</file>